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F0" w:rsidRPr="008E17F0" w:rsidRDefault="006D6853" w:rsidP="008E17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val="ru-RU" w:eastAsia="ru-RU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3195320</wp:posOffset>
            </wp:positionH>
            <wp:positionV relativeFrom="paragraph">
              <wp:posOffset>375285</wp:posOffset>
            </wp:positionV>
            <wp:extent cx="3314700" cy="2009775"/>
            <wp:effectExtent l="19050" t="0" r="0" b="0"/>
            <wp:wrapTight wrapText="bothSides">
              <wp:wrapPolygon edited="0">
                <wp:start x="-124" y="0"/>
                <wp:lineTo x="-124" y="21498"/>
                <wp:lineTo x="21600" y="21498"/>
                <wp:lineTo x="21600" y="0"/>
                <wp:lineTo x="-124" y="0"/>
              </wp:wrapPolygon>
            </wp:wrapTight>
            <wp:docPr id="5" name="Рисунок 3" descr="&quot;&amp;Dcy;&amp;ocy;&amp;gcy;&amp;ocy;&amp;vcy;&amp;ocy;&amp;rcy;&amp;ycy; &amp;icy; &amp;pcy;&amp;ocy;&amp;scy;&amp;tcy;&amp;acy;&amp;ncy;&amp;ocy;&amp;vcy;&amp;lcy;&amp;iecy;&amp;ncy;&amp;icy;&amp;yacy; &amp;pcy;&amp;rcy;&amp;acy;&amp;vcy;&amp;hardcy; &amp;icy; &amp;vcy;&amp;ocy;&amp;lcy;&amp;ncy;&amp;ocy;&amp;scy;&amp;tcy;&amp;iecy;&amp;jcy; &amp;vcy;&amp;ocy;&amp;jcy;&amp;scy;&amp;kcy;&amp;ocy;&amp;vcy;&amp;ycy;&amp;khcy;&amp;hardcy; &amp;mcy;&amp;iecy;&amp;zhcy;&amp;icy; 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quot;&amp;Dcy;&amp;ocy;&amp;gcy;&amp;ocy;&amp;vcy;&amp;ocy;&amp;rcy;&amp;ycy; &amp;icy; &amp;pcy;&amp;ocy;&amp;scy;&amp;tcy;&amp;acy;&amp;ncy;&amp;ocy;&amp;vcy;&amp;lcy;&amp;iecy;&amp;ncy;&amp;icy;&amp;yacy; &amp;pcy;&amp;rcy;&amp;acy;&amp;vcy;&amp;hardcy; &amp;icy; &amp;vcy;&amp;ocy;&amp;lcy;&amp;ncy;&amp;ocy;&amp;scy;&amp;tcy;&amp;iecy;&amp;jcy; &amp;vcy;&amp;ocy;&amp;jcy;&amp;scy;&amp;kcy;&amp;ocy;&amp;vcy;&amp;ycy;&amp;khcy;&amp;hardcy; &amp;mcy;&amp;iecy;&amp;zhcy;&amp;icy; …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17F0" w:rsidRPr="008E17F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ar-SA"/>
        </w:rPr>
        <w:t xml:space="preserve">Конституція Пилипа Орлика </w:t>
      </w:r>
    </w:p>
    <w:p w:rsidR="008E17F0" w:rsidRPr="008E17F0" w:rsidRDefault="006E5CBC" w:rsidP="00677A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B90281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    </w:t>
      </w:r>
      <w:r w:rsidRPr="00B90281">
        <w:rPr>
          <w:rFonts w:ascii="Arial" w:eastAsia="Calibri" w:hAnsi="Arial" w:cs="Arial"/>
          <w:sz w:val="20"/>
          <w:szCs w:val="20"/>
        </w:rPr>
        <w:t>Конституція Пилипа Орлика вважається першою європейською конституцією в сучасному розумінні. Повна назва документа — «Договір та Встановлення прав і вольностей Війська Запорозького та всього вільного народу Малоросійського між Ясновельможним гетьманом Пилипом Орликом та між Генеральною старшиною, полковниками, а також названим Військом Запорозьким, що за давнім звичаєм і за військовими правилами схвалені обома сторонами вільним голосуванням і скріплені найяснішим гетьманом урочистою присягою».</w:t>
      </w:r>
    </w:p>
    <w:p w:rsidR="008E17F0" w:rsidRPr="008E17F0" w:rsidRDefault="008E17F0" w:rsidP="008E17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 w:bidi="ar-SA"/>
        </w:rPr>
      </w:pPr>
      <w:r w:rsidRPr="008E17F0">
        <w:rPr>
          <w:rFonts w:ascii="Times New Roman" w:eastAsia="Times New Roman" w:hAnsi="Times New Roman" w:cs="Times New Roman"/>
          <w:b/>
          <w:bCs/>
          <w:sz w:val="27"/>
          <w:szCs w:val="27"/>
          <w:lang w:eastAsia="ru-RU" w:bidi="ar-SA"/>
        </w:rPr>
        <w:t>Про автора</w:t>
      </w:r>
    </w:p>
    <w:p w:rsidR="008E17F0" w:rsidRPr="00694686" w:rsidRDefault="008E17F0" w:rsidP="00677A0C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 w:bidi="ar-SA"/>
        </w:rPr>
      </w:pPr>
      <w:r w:rsidRPr="00694686">
        <w:rPr>
          <w:rFonts w:ascii="Arial" w:eastAsia="Times New Roman" w:hAnsi="Arial" w:cs="Arial"/>
          <w:sz w:val="18"/>
          <w:szCs w:val="18"/>
          <w:lang w:eastAsia="ru-RU" w:bidi="ar-SA"/>
        </w:rPr>
        <w:t>Пилип Орлик (1672 — 1742)</w:t>
      </w:r>
      <w:r w:rsidR="00801A27" w:rsidRPr="00694686">
        <w:rPr>
          <w:rFonts w:ascii="Arial" w:eastAsia="Times New Roman" w:hAnsi="Arial" w:cs="Arial"/>
          <w:sz w:val="18"/>
          <w:szCs w:val="18"/>
          <w:lang w:eastAsia="ru-RU" w:bidi="ar-SA"/>
        </w:rPr>
        <w:t xml:space="preserve"> </w:t>
      </w:r>
      <w:r w:rsidRPr="00694686">
        <w:rPr>
          <w:rFonts w:ascii="Arial" w:eastAsia="Times New Roman" w:hAnsi="Arial" w:cs="Arial"/>
          <w:sz w:val="18"/>
          <w:szCs w:val="18"/>
          <w:lang w:eastAsia="ru-RU" w:bidi="ar-SA"/>
        </w:rPr>
        <w:t xml:space="preserve">– гетьман України в еміграції (1710—1742). Закінчив Києво-Могилянську колегію, з 1698 р. – кафедральний писар </w:t>
      </w:r>
      <w:r w:rsidR="006D6853" w:rsidRPr="00694686">
        <w:rPr>
          <w:rFonts w:ascii="Arial" w:eastAsia="Times New Roman" w:hAnsi="Arial" w:cs="Arial"/>
          <w:noProof/>
          <w:sz w:val="18"/>
          <w:szCs w:val="18"/>
          <w:lang w:val="ru-RU" w:eastAsia="ru-RU" w:bidi="ar-SA"/>
        </w:rPr>
        <w:drawing>
          <wp:anchor distT="95250" distB="95250" distL="95250" distR="95250" simplePos="0" relativeHeight="251658240" behindDoc="1" locked="0" layoutInCell="1" allowOverlap="0">
            <wp:simplePos x="0" y="0"/>
            <wp:positionH relativeFrom="column">
              <wp:posOffset>-528955</wp:posOffset>
            </wp:positionH>
            <wp:positionV relativeFrom="line">
              <wp:posOffset>216535</wp:posOffset>
            </wp:positionV>
            <wp:extent cx="1409700" cy="1905000"/>
            <wp:effectExtent l="190500" t="152400" r="171450" b="133350"/>
            <wp:wrapTight wrapText="bothSides">
              <wp:wrapPolygon edited="0">
                <wp:start x="0" y="-1728"/>
                <wp:lineTo x="-1751" y="-1080"/>
                <wp:lineTo x="-2919" y="216"/>
                <wp:lineTo x="-2043" y="22464"/>
                <wp:lineTo x="0" y="23112"/>
                <wp:lineTo x="21308" y="23112"/>
                <wp:lineTo x="21600" y="23112"/>
                <wp:lineTo x="23059" y="22464"/>
                <wp:lineTo x="23351" y="22464"/>
                <wp:lineTo x="24227" y="19440"/>
                <wp:lineTo x="24227" y="648"/>
                <wp:lineTo x="22768" y="-1296"/>
                <wp:lineTo x="21308" y="-1728"/>
                <wp:lineTo x="0" y="-1728"/>
              </wp:wrapPolygon>
            </wp:wrapTight>
            <wp:docPr id="2" name="Рисунок 2" descr="relizB2_09_03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izB2_09_03_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749" r="1818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09700" cy="1905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694686">
        <w:rPr>
          <w:rFonts w:ascii="Arial" w:eastAsia="Times New Roman" w:hAnsi="Arial" w:cs="Arial"/>
          <w:sz w:val="18"/>
          <w:szCs w:val="18"/>
          <w:lang w:eastAsia="ru-RU" w:bidi="ar-SA"/>
        </w:rPr>
        <w:t>Київської митрополії. З 1702 р. служив у Генеральній військовій канцелярії, став генеральним писарем (1706 р.).</w:t>
      </w:r>
    </w:p>
    <w:p w:rsidR="008E17F0" w:rsidRPr="00694686" w:rsidRDefault="008E17F0" w:rsidP="00677A0C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 w:bidi="ar-SA"/>
        </w:rPr>
      </w:pPr>
      <w:r w:rsidRPr="00694686">
        <w:rPr>
          <w:rFonts w:ascii="Arial" w:eastAsia="Times New Roman" w:hAnsi="Arial" w:cs="Arial"/>
          <w:sz w:val="18"/>
          <w:szCs w:val="18"/>
          <w:lang w:eastAsia="ru-RU" w:bidi="ar-SA"/>
        </w:rPr>
        <w:t>Після Полтавської битви разом із Іваном Мазепою перебрався до Бендер, де поставив за мету створення антиросійської коаліції для вирішення українського питання. Помер в Яссах.</w:t>
      </w:r>
    </w:p>
    <w:p w:rsidR="008E17F0" w:rsidRPr="00694686" w:rsidRDefault="008E17F0" w:rsidP="00677A0C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 w:bidi="ar-SA"/>
        </w:rPr>
      </w:pPr>
      <w:r w:rsidRPr="00694686">
        <w:rPr>
          <w:rFonts w:ascii="Arial" w:eastAsia="Times New Roman" w:hAnsi="Arial" w:cs="Arial"/>
          <w:sz w:val="18"/>
          <w:szCs w:val="18"/>
          <w:lang w:eastAsia="ru-RU" w:bidi="ar-SA"/>
        </w:rPr>
        <w:t>У квітні 1710 року при обранні гетьманом складає «Пакти й конституції законів та вольностей Війська Запорозького», які пізніше дістали назву Конституції Пилипа Орлика, яка стала однією з перших конституцій Європи.</w:t>
      </w:r>
    </w:p>
    <w:p w:rsidR="008E17F0" w:rsidRPr="00694686" w:rsidRDefault="008E17F0" w:rsidP="00677A0C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 w:bidi="ar-SA"/>
        </w:rPr>
      </w:pPr>
      <w:r w:rsidRPr="00694686">
        <w:rPr>
          <w:rFonts w:ascii="Arial" w:eastAsia="Times New Roman" w:hAnsi="Arial" w:cs="Arial"/>
          <w:sz w:val="18"/>
          <w:szCs w:val="18"/>
          <w:lang w:eastAsia="ru-RU" w:bidi="ar-SA"/>
        </w:rPr>
        <w:t>Нею Пилип Орлик зобов'язувався обмежити гетьманські прерогативи, зменшити соціальну експлуатацію, зберегти особливий статус запорожців і боротися за політичне й церковне відокремлення України від Росії.</w:t>
      </w:r>
    </w:p>
    <w:p w:rsidR="008E17F0" w:rsidRPr="00694686" w:rsidRDefault="008E17F0" w:rsidP="00677A0C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ru-RU" w:bidi="ar-SA"/>
        </w:rPr>
      </w:pPr>
      <w:r w:rsidRPr="00694686">
        <w:rPr>
          <w:rFonts w:ascii="Arial" w:eastAsia="Times New Roman" w:hAnsi="Arial" w:cs="Arial"/>
          <w:sz w:val="18"/>
          <w:szCs w:val="18"/>
          <w:lang w:eastAsia="ru-RU" w:bidi="ar-SA"/>
        </w:rPr>
        <w:t>У 2015 році «Пактам й Конституціям прав і вольностей Війська Запорізького» виповнилося 305 років.</w:t>
      </w:r>
    </w:p>
    <w:p w:rsidR="006D6853" w:rsidRDefault="006D6853" w:rsidP="006D6853">
      <w:pPr>
        <w:spacing w:before="100" w:beforeAutospacing="1" w:after="100" w:afterAutospacing="1" w:line="240" w:lineRule="auto"/>
        <w:outlineLvl w:val="2"/>
      </w:pPr>
      <w:hyperlink r:id="rId6" w:history="1">
        <w:r w:rsidRPr="00B90281">
          <w:rPr>
            <w:rStyle w:val="af5"/>
            <w:i/>
            <w:iCs/>
          </w:rPr>
          <w:t>Перша Конституція України гетьмана Пилипа Орлика (1710 р.)</w:t>
        </w:r>
        <w:r w:rsidRPr="00B90281">
          <w:rPr>
            <w:rStyle w:val="af5"/>
          </w:rPr>
          <w:t xml:space="preserve"> // Сайт Верховної Ради України.</w:t>
        </w:r>
      </w:hyperlink>
    </w:p>
    <w:p w:rsidR="008E17F0" w:rsidRPr="008E17F0" w:rsidRDefault="008E17F0" w:rsidP="008E17F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 w:bidi="ar-SA"/>
        </w:rPr>
      </w:pPr>
      <w:r w:rsidRPr="008E17F0">
        <w:rPr>
          <w:rFonts w:ascii="Times New Roman" w:eastAsia="Times New Roman" w:hAnsi="Times New Roman" w:cs="Times New Roman"/>
          <w:b/>
          <w:bCs/>
          <w:sz w:val="27"/>
          <w:szCs w:val="27"/>
          <w:lang w:eastAsia="ru-RU" w:bidi="ar-SA"/>
        </w:rPr>
        <w:t>Про Конституцію Пилипа Орлика</w:t>
      </w:r>
    </w:p>
    <w:p w:rsidR="008E17F0" w:rsidRPr="00694686" w:rsidRDefault="008E17F0" w:rsidP="00677A0C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 w:bidi="ar-SA"/>
        </w:rPr>
      </w:pPr>
      <w:r w:rsidRPr="00694686">
        <w:rPr>
          <w:rFonts w:ascii="Arial" w:eastAsia="Times New Roman" w:hAnsi="Arial" w:cs="Arial"/>
          <w:sz w:val="20"/>
          <w:szCs w:val="20"/>
          <w:lang w:eastAsia="ru-RU" w:bidi="ar-SA"/>
        </w:rPr>
        <w:t>«Пакти й Конституції», написані гетьманом Війська Запорозького Пилипом Орликом та його сподвижниками Г.</w:t>
      </w:r>
      <w:proofErr w:type="spellStart"/>
      <w:r w:rsidRPr="00694686">
        <w:rPr>
          <w:rFonts w:ascii="Arial" w:eastAsia="Times New Roman" w:hAnsi="Arial" w:cs="Arial"/>
          <w:sz w:val="20"/>
          <w:szCs w:val="20"/>
          <w:lang w:eastAsia="ru-RU" w:bidi="ar-SA"/>
        </w:rPr>
        <w:t>Герциком</w:t>
      </w:r>
      <w:proofErr w:type="spellEnd"/>
      <w:r w:rsidRPr="00694686">
        <w:rPr>
          <w:rFonts w:ascii="Arial" w:eastAsia="Times New Roman" w:hAnsi="Arial" w:cs="Arial"/>
          <w:sz w:val="20"/>
          <w:szCs w:val="20"/>
          <w:lang w:eastAsia="ru-RU" w:bidi="ar-SA"/>
        </w:rPr>
        <w:t xml:space="preserve">, А.Войнаровським, прийняті </w:t>
      </w:r>
      <w:r w:rsidRPr="00C86654">
        <w:rPr>
          <w:rFonts w:ascii="Arial" w:eastAsia="Times New Roman" w:hAnsi="Arial" w:cs="Arial"/>
          <w:sz w:val="20"/>
          <w:szCs w:val="20"/>
          <w:u w:val="single"/>
          <w:lang w:eastAsia="ru-RU" w:bidi="ar-SA"/>
        </w:rPr>
        <w:t>5 квітня 1710 року</w:t>
      </w:r>
      <w:r w:rsidRPr="00694686">
        <w:rPr>
          <w:rFonts w:ascii="Arial" w:eastAsia="Times New Roman" w:hAnsi="Arial" w:cs="Arial"/>
          <w:sz w:val="20"/>
          <w:szCs w:val="20"/>
          <w:lang w:eastAsia="ru-RU" w:bidi="ar-SA"/>
        </w:rPr>
        <w:t xml:space="preserve"> у Бендерах, і є першою українсь</w:t>
      </w:r>
      <w:r w:rsidRPr="00694686">
        <w:rPr>
          <w:rFonts w:ascii="Arial" w:eastAsia="Times New Roman" w:hAnsi="Arial" w:cs="Arial"/>
          <w:sz w:val="20"/>
          <w:szCs w:val="20"/>
          <w:lang w:eastAsia="ru-RU" w:bidi="ar-SA"/>
        </w:rPr>
        <w:softHyphen/>
        <w:t>кою Конституцією в сучасному її розумінні. «Пакти й Конституції законів та вольностей Війська Запорозького» складені як угода між гетьманом та Військом Запорозьким (народом України), що було характерним для західноєвропейської традиції і відрізнялося від ідей східного </w:t>
      </w:r>
      <w:proofErr w:type="spellStart"/>
      <w:r w:rsidRPr="00694686">
        <w:rPr>
          <w:rFonts w:ascii="Arial" w:eastAsia="Times New Roman" w:hAnsi="Arial" w:cs="Arial"/>
          <w:sz w:val="20"/>
          <w:szCs w:val="20"/>
          <w:lang w:eastAsia="ru-RU" w:bidi="ar-SA"/>
        </w:rPr>
        <w:t>патримоніалізму</w:t>
      </w:r>
      <w:proofErr w:type="spellEnd"/>
      <w:r w:rsidRPr="00694686">
        <w:rPr>
          <w:rFonts w:ascii="Arial" w:eastAsia="Times New Roman" w:hAnsi="Arial" w:cs="Arial"/>
          <w:sz w:val="20"/>
          <w:szCs w:val="20"/>
          <w:lang w:eastAsia="ru-RU" w:bidi="ar-SA"/>
        </w:rPr>
        <w:t>.</w:t>
      </w:r>
    </w:p>
    <w:p w:rsidR="008E17F0" w:rsidRPr="00694686" w:rsidRDefault="008E17F0" w:rsidP="00677A0C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 w:bidi="ar-SA"/>
        </w:rPr>
      </w:pPr>
      <w:r w:rsidRPr="00694686">
        <w:rPr>
          <w:rFonts w:ascii="Arial" w:eastAsia="Times New Roman" w:hAnsi="Arial" w:cs="Arial"/>
          <w:sz w:val="20"/>
          <w:szCs w:val="20"/>
          <w:lang w:eastAsia="ru-RU" w:bidi="ar-SA"/>
        </w:rPr>
        <w:t xml:space="preserve">Конституція складається з преамбули та 16 параграфів, де сформульовані головні принципи побудови держави. У преамбулі схематично викладено історію Війська Запорозького – всього малоросійського народу. </w:t>
      </w:r>
    </w:p>
    <w:p w:rsidR="008E17F0" w:rsidRPr="00694686" w:rsidRDefault="008E17F0" w:rsidP="00677A0C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 w:bidi="ar-SA"/>
        </w:rPr>
      </w:pPr>
      <w:r w:rsidRPr="00694686">
        <w:rPr>
          <w:rFonts w:ascii="Arial" w:eastAsia="Times New Roman" w:hAnsi="Arial" w:cs="Arial"/>
          <w:sz w:val="20"/>
          <w:szCs w:val="20"/>
          <w:lang w:eastAsia="ru-RU" w:bidi="ar-SA"/>
        </w:rPr>
        <w:t>У першому параграфі «Пактів й Конституцій» розглянуто питання віри, заявлено про православ'я як панівну релігію в державі, а також про відновлення автокефалії. Другий параграф важливий тим, що чітко означив кордони держави, визначені Зборівським договором 1649 року. Гетьман був зобов'язаний оберігати територіальну ціліс</w:t>
      </w:r>
      <w:r w:rsidRPr="00694686">
        <w:rPr>
          <w:rFonts w:ascii="Arial" w:eastAsia="Times New Roman" w:hAnsi="Arial" w:cs="Arial"/>
          <w:sz w:val="20"/>
          <w:szCs w:val="20"/>
          <w:lang w:eastAsia="ru-RU" w:bidi="ar-SA"/>
        </w:rPr>
        <w:softHyphen/>
        <w:t>ність країни.</w:t>
      </w:r>
    </w:p>
    <w:p w:rsidR="008E17F0" w:rsidRPr="00694686" w:rsidRDefault="008E17F0" w:rsidP="00677A0C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 w:bidi="ar-SA"/>
        </w:rPr>
      </w:pPr>
      <w:r w:rsidRPr="00694686">
        <w:rPr>
          <w:rFonts w:ascii="Arial" w:eastAsia="Times New Roman" w:hAnsi="Arial" w:cs="Arial"/>
          <w:sz w:val="20"/>
          <w:szCs w:val="20"/>
          <w:lang w:eastAsia="ru-RU" w:bidi="ar-SA"/>
        </w:rPr>
        <w:t>Принциповий характер має шостий параграф, де закладені основи управління та діяльності органів державної влади. Конституція пев</w:t>
      </w:r>
      <w:r w:rsidRPr="00694686">
        <w:rPr>
          <w:rFonts w:ascii="Arial" w:eastAsia="Times New Roman" w:hAnsi="Arial" w:cs="Arial"/>
          <w:sz w:val="20"/>
          <w:szCs w:val="20"/>
          <w:lang w:eastAsia="ru-RU" w:bidi="ar-SA"/>
        </w:rPr>
        <w:softHyphen/>
        <w:t>ною мірою ґрунтувалася на ідеї поділу влади на законодавчу, вико</w:t>
      </w:r>
      <w:r w:rsidRPr="00694686">
        <w:rPr>
          <w:rFonts w:ascii="Arial" w:eastAsia="Times New Roman" w:hAnsi="Arial" w:cs="Arial"/>
          <w:sz w:val="20"/>
          <w:szCs w:val="20"/>
          <w:lang w:eastAsia="ru-RU" w:bidi="ar-SA"/>
        </w:rPr>
        <w:softHyphen/>
        <w:t xml:space="preserve">навчу та судову. Законодавча влада належить Раді, членами якої є полковники зі своєю старшиною, сотники, </w:t>
      </w:r>
      <w:r w:rsidRPr="00694686">
        <w:rPr>
          <w:rFonts w:ascii="Arial" w:eastAsia="Times New Roman" w:hAnsi="Arial" w:cs="Arial"/>
          <w:i/>
          <w:iCs/>
          <w:sz w:val="20"/>
          <w:szCs w:val="20"/>
          <w:lang w:eastAsia="ru-RU" w:bidi="ar-SA"/>
        </w:rPr>
        <w:t>«генеральні радники від усіх полків»</w:t>
      </w:r>
      <w:r w:rsidRPr="00694686">
        <w:rPr>
          <w:rFonts w:ascii="Arial" w:eastAsia="Times New Roman" w:hAnsi="Arial" w:cs="Arial"/>
          <w:sz w:val="20"/>
          <w:szCs w:val="20"/>
          <w:lang w:eastAsia="ru-RU" w:bidi="ar-SA"/>
        </w:rPr>
        <w:t xml:space="preserve"> та </w:t>
      </w:r>
      <w:r w:rsidRPr="00694686">
        <w:rPr>
          <w:rFonts w:ascii="Arial" w:eastAsia="Times New Roman" w:hAnsi="Arial" w:cs="Arial"/>
          <w:i/>
          <w:iCs/>
          <w:sz w:val="20"/>
          <w:szCs w:val="20"/>
          <w:lang w:eastAsia="ru-RU" w:bidi="ar-SA"/>
        </w:rPr>
        <w:t>«посли від Низового Війська Запорозького для слухання і обговорення справ, щоб взяти активну участь».</w:t>
      </w:r>
      <w:r w:rsidRPr="00694686">
        <w:rPr>
          <w:rFonts w:ascii="Arial" w:eastAsia="Times New Roman" w:hAnsi="Arial" w:cs="Arial"/>
          <w:sz w:val="20"/>
          <w:szCs w:val="20"/>
          <w:lang w:eastAsia="ru-RU" w:bidi="ar-SA"/>
        </w:rPr>
        <w:t xml:space="preserve"> Рада мала збиратися тричі на рік — на Різдво Христове, Свято Великодня та Покрови, а та</w:t>
      </w:r>
      <w:r w:rsidRPr="00694686">
        <w:rPr>
          <w:rFonts w:ascii="Arial" w:eastAsia="Times New Roman" w:hAnsi="Arial" w:cs="Arial"/>
          <w:sz w:val="20"/>
          <w:szCs w:val="20"/>
          <w:lang w:eastAsia="ru-RU" w:bidi="ar-SA"/>
        </w:rPr>
        <w:softHyphen/>
        <w:t xml:space="preserve">кож за рішенням гетьмана. Усі важливі державні справи гетьман має попередньо узгоджувати, </w:t>
      </w:r>
      <w:r w:rsidRPr="00694686">
        <w:rPr>
          <w:rFonts w:ascii="Arial" w:eastAsia="Times New Roman" w:hAnsi="Arial" w:cs="Arial"/>
          <w:i/>
          <w:iCs/>
          <w:sz w:val="20"/>
          <w:szCs w:val="20"/>
          <w:lang w:eastAsia="ru-RU" w:bidi="ar-SA"/>
        </w:rPr>
        <w:t>«на власний розсуд ніщо не має ні починатися, ні вирішуватися, ні здійснюватися»</w:t>
      </w:r>
      <w:r w:rsidRPr="00694686">
        <w:rPr>
          <w:rFonts w:ascii="Arial" w:eastAsia="Times New Roman" w:hAnsi="Arial" w:cs="Arial"/>
          <w:sz w:val="20"/>
          <w:szCs w:val="20"/>
          <w:lang w:eastAsia="ru-RU" w:bidi="ar-SA"/>
        </w:rPr>
        <w:t xml:space="preserve">. Суд також мав діяти незалежно, оскільки гетьман </w:t>
      </w:r>
      <w:r w:rsidRPr="00694686">
        <w:rPr>
          <w:rFonts w:ascii="Arial" w:eastAsia="Times New Roman" w:hAnsi="Arial" w:cs="Arial"/>
          <w:i/>
          <w:iCs/>
          <w:sz w:val="20"/>
          <w:szCs w:val="20"/>
          <w:lang w:eastAsia="ru-RU" w:bidi="ar-SA"/>
        </w:rPr>
        <w:t>«не повинен карати сам із власної ініці</w:t>
      </w:r>
      <w:r w:rsidRPr="00694686">
        <w:rPr>
          <w:rFonts w:ascii="Arial" w:eastAsia="Times New Roman" w:hAnsi="Arial" w:cs="Arial"/>
          <w:i/>
          <w:iCs/>
          <w:sz w:val="20"/>
          <w:szCs w:val="20"/>
          <w:lang w:eastAsia="ru-RU" w:bidi="ar-SA"/>
        </w:rPr>
        <w:softHyphen/>
        <w:t xml:space="preserve">ативи і помсти, але таке правопорушення — і умисне, й випадкове — має підлягати (розгляду) </w:t>
      </w:r>
      <w:r w:rsidRPr="00694686">
        <w:rPr>
          <w:rFonts w:ascii="Arial" w:eastAsia="Times New Roman" w:hAnsi="Arial" w:cs="Arial"/>
          <w:i/>
          <w:iCs/>
          <w:sz w:val="20"/>
          <w:szCs w:val="20"/>
          <w:lang w:eastAsia="ru-RU" w:bidi="ar-SA"/>
        </w:rPr>
        <w:lastRenderedPageBreak/>
        <w:t>Генерального Суду, який і повинен винести рішення не поблажливе й не лицемірне, а таке, якому кожен мусить підкоритися, як переможений законом»</w:t>
      </w:r>
      <w:r w:rsidRPr="00694686">
        <w:rPr>
          <w:rFonts w:ascii="Arial" w:eastAsia="Times New Roman" w:hAnsi="Arial" w:cs="Arial"/>
          <w:sz w:val="20"/>
          <w:szCs w:val="20"/>
          <w:lang w:eastAsia="ru-RU" w:bidi="ar-SA"/>
        </w:rPr>
        <w:t>.</w:t>
      </w:r>
    </w:p>
    <w:p w:rsidR="008E17F0" w:rsidRPr="00694686" w:rsidRDefault="008E17F0" w:rsidP="00677A0C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 w:bidi="ar-SA"/>
        </w:rPr>
      </w:pPr>
      <w:r w:rsidRPr="00694686">
        <w:rPr>
          <w:rFonts w:ascii="Arial" w:eastAsia="Times New Roman" w:hAnsi="Arial" w:cs="Arial"/>
          <w:sz w:val="20"/>
          <w:szCs w:val="20"/>
          <w:lang w:eastAsia="ru-RU" w:bidi="ar-SA"/>
        </w:rPr>
        <w:t xml:space="preserve">Документ містить цілу низку привілеїв, які надавалися як певним соціальним групам, так і окремим містам. Так, розділ ХІ Пактів встановлював:  </w:t>
      </w:r>
      <w:r w:rsidRPr="00694686">
        <w:rPr>
          <w:rFonts w:ascii="Arial" w:eastAsia="Times New Roman" w:hAnsi="Arial" w:cs="Arial"/>
          <w:i/>
          <w:iCs/>
          <w:sz w:val="20"/>
          <w:szCs w:val="20"/>
          <w:lang w:eastAsia="ru-RU" w:bidi="ar-SA"/>
        </w:rPr>
        <w:t>«вдови козаків, їхні дружини та діти-сироти, козацькі господарства і (господарства) жінок, чоловіки яких перебувають на війні або на якихось військових службах, не притягатимуться до жодних обов’язкових для простого люду загальних повинностей і не будуть обтяжені сплатою податків»,</w:t>
      </w:r>
      <w:r w:rsidRPr="00694686">
        <w:rPr>
          <w:rFonts w:ascii="Arial" w:eastAsia="Times New Roman" w:hAnsi="Arial" w:cs="Arial"/>
          <w:sz w:val="20"/>
          <w:szCs w:val="20"/>
          <w:lang w:eastAsia="ru-RU" w:bidi="ar-SA"/>
        </w:rPr>
        <w:t xml:space="preserve"> розділом ХІІІ ухвалювалося, «</w:t>
      </w:r>
      <w:r w:rsidRPr="00694686">
        <w:rPr>
          <w:rFonts w:ascii="Arial" w:eastAsia="Times New Roman" w:hAnsi="Arial" w:cs="Arial"/>
          <w:i/>
          <w:iCs/>
          <w:sz w:val="20"/>
          <w:szCs w:val="20"/>
          <w:lang w:eastAsia="ru-RU" w:bidi="ar-SA"/>
        </w:rPr>
        <w:t>що столичне місто Русі Київ та інші міста України зберігали недоторканими й непорушними всі свої справедливо отримані закони та привілеї» </w:t>
      </w:r>
      <w:r w:rsidRPr="00694686">
        <w:rPr>
          <w:rFonts w:ascii="Arial" w:eastAsia="Times New Roman" w:hAnsi="Arial" w:cs="Arial"/>
          <w:sz w:val="20"/>
          <w:szCs w:val="20"/>
          <w:lang w:eastAsia="ru-RU" w:bidi="ar-SA"/>
        </w:rPr>
        <w:t>тощо</w:t>
      </w:r>
      <w:r w:rsidRPr="00694686">
        <w:rPr>
          <w:rFonts w:ascii="Arial" w:eastAsia="Times New Roman" w:hAnsi="Arial" w:cs="Arial"/>
          <w:i/>
          <w:iCs/>
          <w:sz w:val="20"/>
          <w:szCs w:val="20"/>
          <w:lang w:eastAsia="ru-RU" w:bidi="ar-SA"/>
        </w:rPr>
        <w:t>.</w:t>
      </w:r>
    </w:p>
    <w:p w:rsidR="00677A0C" w:rsidRPr="00694686" w:rsidRDefault="008E17F0" w:rsidP="00677A0C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 w:bidi="ar-SA"/>
        </w:rPr>
      </w:pPr>
      <w:r w:rsidRPr="00694686">
        <w:rPr>
          <w:rFonts w:ascii="Arial" w:eastAsia="Times New Roman" w:hAnsi="Arial" w:cs="Arial"/>
          <w:sz w:val="20"/>
          <w:szCs w:val="20"/>
          <w:lang w:eastAsia="ru-RU" w:bidi="ar-SA"/>
        </w:rPr>
        <w:t>Загалом документ пронизаний ідеологією обмеження повноважень Гетьмана та його найближчого оточення, кажучи сучасною політико-правовою мовою, необхідності боротьби з корупцією.  Так, Розділ Х зобов’язує Гетьмана «</w:t>
      </w:r>
      <w:r w:rsidRPr="00694686">
        <w:rPr>
          <w:rFonts w:ascii="Arial" w:eastAsia="Times New Roman" w:hAnsi="Arial" w:cs="Arial"/>
          <w:i/>
          <w:iCs/>
          <w:sz w:val="20"/>
          <w:szCs w:val="20"/>
          <w:lang w:eastAsia="ru-RU" w:bidi="ar-SA"/>
        </w:rPr>
        <w:t>заборонити ці зловживання, що так поширилися, й, уникаючи їх сам, гідним наслідування прикладом, і викорінюючи. Оскільки ж усі тягарі і здирство нещасного простолюду беруть свій початок із підкупу за сприяння особам, що просять і домагаються судових посад, не користуючись довір’ям і не маючи заслуг, але ненаситно прагнучи до власного збагачення, розбещуючи урядовців, козаків і простолюдинів, завойовуючи прихильність Гетьмана підступними подарунками, за допомогою яких намагаються без вільних виборів, всупереч праву і рівності, піднятися на вершину полкових та інших урядів  почестей».</w:t>
      </w:r>
      <w:r w:rsidRPr="00694686">
        <w:rPr>
          <w:rFonts w:ascii="Arial" w:eastAsia="Times New Roman" w:hAnsi="Arial" w:cs="Arial"/>
          <w:sz w:val="20"/>
          <w:szCs w:val="20"/>
          <w:lang w:eastAsia="ru-RU" w:bidi="ar-SA"/>
        </w:rPr>
        <w:t xml:space="preserve"> </w:t>
      </w:r>
    </w:p>
    <w:p w:rsidR="008E17F0" w:rsidRPr="00694686" w:rsidRDefault="006D6853" w:rsidP="00677A0C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 w:bidi="ar-SA"/>
        </w:rPr>
      </w:pPr>
      <w:r w:rsidRPr="00694686">
        <w:rPr>
          <w:rFonts w:ascii="Arial" w:eastAsia="Times New Roman" w:hAnsi="Arial" w:cs="Arial"/>
          <w:noProof/>
          <w:sz w:val="20"/>
          <w:szCs w:val="20"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4109720</wp:posOffset>
            </wp:positionH>
            <wp:positionV relativeFrom="paragraph">
              <wp:posOffset>1539875</wp:posOffset>
            </wp:positionV>
            <wp:extent cx="2095500" cy="1476375"/>
            <wp:effectExtent l="171450" t="133350" r="361950" b="314325"/>
            <wp:wrapTight wrapText="bothSides">
              <wp:wrapPolygon edited="0">
                <wp:start x="2160" y="-1951"/>
                <wp:lineTo x="589" y="-1672"/>
                <wp:lineTo x="-1767" y="836"/>
                <wp:lineTo x="-1767" y="20346"/>
                <wp:lineTo x="-982" y="24805"/>
                <wp:lineTo x="785" y="26199"/>
                <wp:lineTo x="1178" y="26199"/>
                <wp:lineTo x="22385" y="26199"/>
                <wp:lineTo x="22778" y="26199"/>
                <wp:lineTo x="24153" y="25084"/>
                <wp:lineTo x="24153" y="24805"/>
                <wp:lineTo x="24349" y="24805"/>
                <wp:lineTo x="25135" y="21182"/>
                <wp:lineTo x="25135" y="2508"/>
                <wp:lineTo x="25331" y="1115"/>
                <wp:lineTo x="22975" y="-1672"/>
                <wp:lineTo x="21404" y="-1951"/>
                <wp:lineTo x="2160" y="-1951"/>
              </wp:wrapPolygon>
            </wp:wrapTight>
            <wp:docPr id="3" name="Рисунок 1" descr="http://ridna.ua/wp-content/uploads/wp-post-thumbnail/7wdQl6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idna.ua/wp-content/uploads/wp-post-thumbnail/7wdQl6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76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E17F0" w:rsidRPr="00694686">
        <w:rPr>
          <w:rFonts w:ascii="Arial" w:eastAsia="Times New Roman" w:hAnsi="Arial" w:cs="Arial"/>
          <w:sz w:val="20"/>
          <w:szCs w:val="20"/>
          <w:lang w:eastAsia="ru-RU" w:bidi="ar-SA"/>
        </w:rPr>
        <w:t>Конституція Пилипа Орлика діяла певною мірою на Правобережній Україні як мінімум протягом 1710—1711 рр. Як відомо, за підтримки Карла ХІІ Пилип Орлик в союзі з кримськими татарами виступив проти Російської імперії, маючи на меті звільнити щонайменше Правобережну Україну. Перед спільним військовим походом 1711 року Пилип Орлик здійснив підготовчі заходи – розіслав листи-універсали, в яких закликав до повстання проти влади російського імператора. Очевидним є той факт, що населення Правобережної України було ознайомлено з головними ідеями Конституції Пилипа Орлика, оскільки вони пропагувалися як такі, що мусили би діяти за умови державності України. Повсталий народ підтримав Гетьмана і один за одним міста Правобережжя переходили під владу гетьмана.</w:t>
      </w:r>
    </w:p>
    <w:p w:rsidR="006D6853" w:rsidRPr="00694686" w:rsidRDefault="008E17F0" w:rsidP="00677A0C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 w:bidi="ar-SA"/>
        </w:rPr>
      </w:pPr>
      <w:r w:rsidRPr="00694686">
        <w:rPr>
          <w:rFonts w:ascii="Arial" w:eastAsia="Times New Roman" w:hAnsi="Arial" w:cs="Arial"/>
          <w:sz w:val="20"/>
          <w:szCs w:val="20"/>
          <w:lang w:eastAsia="ru-RU" w:bidi="ar-SA"/>
        </w:rPr>
        <w:t>Текст був складений латинською і руською мовами. «Пакти й Конституції законів та вольностей Війська Запорозького» були напи</w:t>
      </w:r>
      <w:r w:rsidRPr="00694686">
        <w:rPr>
          <w:rFonts w:ascii="Arial" w:eastAsia="Times New Roman" w:hAnsi="Arial" w:cs="Arial"/>
          <w:sz w:val="20"/>
          <w:szCs w:val="20"/>
          <w:lang w:eastAsia="ru-RU" w:bidi="ar-SA"/>
        </w:rPr>
        <w:softHyphen/>
        <w:t>сані під значним впливом ідей західноєвропейського парламентариз</w:t>
      </w:r>
      <w:r w:rsidRPr="00694686">
        <w:rPr>
          <w:rFonts w:ascii="Arial" w:eastAsia="Times New Roman" w:hAnsi="Arial" w:cs="Arial"/>
          <w:sz w:val="20"/>
          <w:szCs w:val="20"/>
          <w:lang w:eastAsia="ru-RU" w:bidi="ar-SA"/>
        </w:rPr>
        <w:softHyphen/>
        <w:t>му і закладали головні принципи республіканської форми правління.</w:t>
      </w:r>
      <w:r w:rsidR="006D6853" w:rsidRPr="00694686">
        <w:rPr>
          <w:rFonts w:ascii="Arial" w:eastAsia="Times New Roman" w:hAnsi="Arial" w:cs="Arial"/>
          <w:sz w:val="20"/>
          <w:szCs w:val="20"/>
          <w:lang w:eastAsia="ru-RU" w:bidi="ar-SA"/>
        </w:rPr>
        <w:t xml:space="preserve"> </w:t>
      </w:r>
    </w:p>
    <w:p w:rsidR="008E17F0" w:rsidRPr="00694686" w:rsidRDefault="006D6853" w:rsidP="00677A0C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 w:bidi="ar-SA"/>
        </w:rPr>
      </w:pPr>
      <w:r w:rsidRPr="00694686">
        <w:rPr>
          <w:rFonts w:ascii="Arial" w:eastAsia="Times New Roman" w:hAnsi="Arial" w:cs="Arial"/>
          <w:sz w:val="20"/>
          <w:szCs w:val="20"/>
          <w:lang w:eastAsia="ru-RU" w:bidi="ar-SA"/>
        </w:rPr>
        <w:t>(з книги Миколи Томенка «Історія української Конституції»)</w:t>
      </w:r>
    </w:p>
    <w:p w:rsidR="00677A0C" w:rsidRPr="00694686" w:rsidRDefault="00677A0C" w:rsidP="00677A0C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 w:bidi="ar-SA"/>
        </w:rPr>
      </w:pPr>
    </w:p>
    <w:p w:rsidR="008E17F0" w:rsidRPr="00694686" w:rsidRDefault="006E5CBC" w:rsidP="008E17F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 w:bidi="ar-SA"/>
        </w:rPr>
      </w:pPr>
      <w:r w:rsidRPr="00694686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 w:bidi="ar-SA"/>
        </w:rPr>
        <w:t xml:space="preserve">При підготовці інформації використано матеріали з </w:t>
      </w:r>
      <w:proofErr w:type="spellStart"/>
      <w:r w:rsidRPr="00694686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 w:bidi="ar-SA"/>
        </w:rPr>
        <w:t>інтернет-ресурсу</w:t>
      </w:r>
      <w:proofErr w:type="spellEnd"/>
      <w:r w:rsidRPr="00694686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 w:bidi="ar-SA"/>
        </w:rPr>
        <w:t xml:space="preserve"> </w:t>
      </w:r>
      <w:r w:rsidR="008E17F0" w:rsidRPr="00694686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 w:bidi="ar-SA"/>
        </w:rPr>
        <w:t>«Рідна країна»</w:t>
      </w:r>
    </w:p>
    <w:p w:rsidR="00CB5DAA" w:rsidRPr="00B90281" w:rsidRDefault="00CB5DAA"/>
    <w:sectPr w:rsidR="00CB5DAA" w:rsidRPr="00B90281" w:rsidSect="00EE4F8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7F0"/>
    <w:rsid w:val="00017A8D"/>
    <w:rsid w:val="00271884"/>
    <w:rsid w:val="00677A0C"/>
    <w:rsid w:val="00694686"/>
    <w:rsid w:val="006D6853"/>
    <w:rsid w:val="006E5CBC"/>
    <w:rsid w:val="007F5220"/>
    <w:rsid w:val="00801A27"/>
    <w:rsid w:val="008E17F0"/>
    <w:rsid w:val="00B37D66"/>
    <w:rsid w:val="00B90281"/>
    <w:rsid w:val="00C86654"/>
    <w:rsid w:val="00CB5DAA"/>
    <w:rsid w:val="00D1581B"/>
    <w:rsid w:val="00EC64F6"/>
    <w:rsid w:val="00EE4F88"/>
    <w:rsid w:val="00EF2E23"/>
    <w:rsid w:val="00F04A1D"/>
    <w:rsid w:val="00F25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F6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C64F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0000FF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64F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C64F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4F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4F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4F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4F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4F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4F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4F6"/>
    <w:rPr>
      <w:caps/>
      <w:color w:val="0000FF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C64F6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C64F6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C64F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C64F6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C64F6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C64F6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C64F6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C64F6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C64F6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C64F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EC64F6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EC64F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EC64F6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EC64F6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EC64F6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EC64F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C64F6"/>
  </w:style>
  <w:style w:type="paragraph" w:styleId="ac">
    <w:name w:val="List Paragraph"/>
    <w:basedOn w:val="a"/>
    <w:uiPriority w:val="34"/>
    <w:qFormat/>
    <w:rsid w:val="00EC64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C64F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C64F6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EC64F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EC64F6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EC64F6"/>
    <w:rPr>
      <w:i/>
      <w:iCs/>
    </w:rPr>
  </w:style>
  <w:style w:type="character" w:styleId="af0">
    <w:name w:val="Intense Emphasis"/>
    <w:uiPriority w:val="21"/>
    <w:qFormat/>
    <w:rsid w:val="00EC64F6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EC64F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EC64F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EC64F6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EC64F6"/>
    <w:pPr>
      <w:outlineLvl w:val="9"/>
    </w:pPr>
  </w:style>
  <w:style w:type="character" w:customStyle="1" w:styleId="date">
    <w:name w:val="date"/>
    <w:basedOn w:val="a0"/>
    <w:rsid w:val="008E17F0"/>
  </w:style>
  <w:style w:type="character" w:styleId="af5">
    <w:name w:val="Hyperlink"/>
    <w:basedOn w:val="a0"/>
    <w:uiPriority w:val="99"/>
    <w:semiHidden/>
    <w:unhideWhenUsed/>
    <w:rsid w:val="008E17F0"/>
    <w:rPr>
      <w:color w:val="0000FF"/>
      <w:u w:val="single"/>
    </w:rPr>
  </w:style>
  <w:style w:type="character" w:customStyle="1" w:styleId="desc">
    <w:name w:val="desc"/>
    <w:basedOn w:val="a0"/>
    <w:rsid w:val="008E17F0"/>
  </w:style>
  <w:style w:type="paragraph" w:styleId="af6">
    <w:name w:val="Normal (Web)"/>
    <w:basedOn w:val="a"/>
    <w:uiPriority w:val="99"/>
    <w:semiHidden/>
    <w:unhideWhenUsed/>
    <w:rsid w:val="008E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8E1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8E17F0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ridna.ua/wp-content/uploads/2011/04/Constituci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ska2.rada.gov.ua/site/const/istoriya/1710.html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2015-04-24T07:34:00Z</dcterms:created>
  <dcterms:modified xsi:type="dcterms:W3CDTF">2015-04-24T12:04:00Z</dcterms:modified>
</cp:coreProperties>
</file>