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BA" w:rsidRPr="003E54BA" w:rsidRDefault="003E54BA" w:rsidP="003E54BA">
      <w:pPr>
        <w:spacing w:after="0" w:line="240" w:lineRule="auto"/>
        <w:jc w:val="both"/>
        <w:rPr>
          <w:rFonts w:ascii="Times New Roman" w:eastAsia="Times New Roman" w:hAnsi="Times New Roman" w:cs="Times New Roman"/>
          <w:iCs w:val="0"/>
          <w:sz w:val="24"/>
          <w:szCs w:val="24"/>
          <w:lang w:val="uk-UA" w:eastAsia="ru-RU" w:bidi="ar-SA"/>
        </w:rPr>
      </w:pPr>
      <w:r w:rsidRPr="003E54BA">
        <w:rPr>
          <w:rFonts w:ascii="Times New Roman" w:eastAsia="Times New Roman" w:hAnsi="Times New Roman" w:cs="Times New Roman"/>
          <w:iCs w:val="0"/>
          <w:sz w:val="24"/>
          <w:szCs w:val="24"/>
          <w:lang w:val="uk-UA" w:eastAsia="ru-RU" w:bidi="ar-SA"/>
        </w:rPr>
        <w:t>Щодо формування земельних ділянок та їх державної реєстрації на підставі документації із землеустрою, розробленої до 2013 року</w:t>
      </w:r>
    </w:p>
    <w:p w:rsidR="003E54BA" w:rsidRPr="003E54BA" w:rsidRDefault="003E54BA" w:rsidP="003E54BA">
      <w:pPr>
        <w:spacing w:before="100" w:beforeAutospacing="1" w:after="100" w:afterAutospacing="1" w:line="240" w:lineRule="auto"/>
        <w:jc w:val="both"/>
        <w:rPr>
          <w:rFonts w:ascii="Times New Roman" w:eastAsia="Times New Roman" w:hAnsi="Times New Roman" w:cs="Times New Roman"/>
          <w:i w:val="0"/>
          <w:iCs w:val="0"/>
          <w:sz w:val="24"/>
          <w:szCs w:val="24"/>
          <w:lang w:val="uk-UA" w:eastAsia="ru-RU" w:bidi="ar-SA"/>
        </w:rPr>
      </w:pPr>
      <w:r w:rsidRPr="003E54BA">
        <w:rPr>
          <w:rFonts w:ascii="Times New Roman" w:eastAsia="Times New Roman" w:hAnsi="Times New Roman" w:cs="Times New Roman"/>
          <w:i w:val="0"/>
          <w:iCs w:val="0"/>
          <w:sz w:val="21"/>
          <w:szCs w:val="21"/>
          <w:lang w:val="uk-UA" w:eastAsia="ru-RU" w:bidi="ar-SA"/>
        </w:rPr>
        <w:t>Законом України від 14 травня 2015 року №418-VIII "</w:t>
      </w:r>
      <w:hyperlink r:id="rId4" w:tgtFrame="_blank" w:history="1">
        <w:r w:rsidRPr="003E54BA">
          <w:rPr>
            <w:rFonts w:ascii="Times New Roman" w:eastAsia="Times New Roman" w:hAnsi="Times New Roman" w:cs="Times New Roman"/>
            <w:i w:val="0"/>
            <w:iCs w:val="0"/>
            <w:color w:val="0000FF"/>
            <w:sz w:val="21"/>
            <w:u w:val="single"/>
            <w:lang w:val="uk-UA" w:eastAsia="ru-RU" w:bidi="ar-SA"/>
          </w:rPr>
          <w:t>Про внесення змін до деяких законодавчих актів України щодо формування земельних ділянок та їх державної реєстрації на підставі документації із землеустрою, розробленої до 2013 року</w:t>
        </w:r>
      </w:hyperlink>
      <w:r w:rsidRPr="003E54BA">
        <w:rPr>
          <w:rFonts w:ascii="Times New Roman" w:eastAsia="Times New Roman" w:hAnsi="Times New Roman" w:cs="Times New Roman"/>
          <w:i w:val="0"/>
          <w:iCs w:val="0"/>
          <w:sz w:val="21"/>
          <w:szCs w:val="21"/>
          <w:lang w:val="uk-UA" w:eastAsia="ru-RU" w:bidi="ar-SA"/>
        </w:rPr>
        <w:t>" внесено зміни до таких законодавчих актів України:</w:t>
      </w:r>
    </w:p>
    <w:p w:rsidR="003E54BA" w:rsidRPr="003E54BA" w:rsidRDefault="003E54BA" w:rsidP="003E54BA">
      <w:pPr>
        <w:spacing w:before="100" w:beforeAutospacing="1" w:after="100" w:afterAutospacing="1" w:line="240" w:lineRule="auto"/>
        <w:jc w:val="both"/>
        <w:rPr>
          <w:rFonts w:ascii="Times New Roman" w:eastAsia="Times New Roman" w:hAnsi="Times New Roman" w:cs="Times New Roman"/>
          <w:i w:val="0"/>
          <w:iCs w:val="0"/>
          <w:sz w:val="24"/>
          <w:szCs w:val="24"/>
          <w:lang w:val="uk-UA" w:eastAsia="ru-RU" w:bidi="ar-SA"/>
        </w:rPr>
      </w:pPr>
      <w:r w:rsidRPr="003E54BA">
        <w:rPr>
          <w:rFonts w:ascii="Times New Roman" w:eastAsia="Times New Roman" w:hAnsi="Times New Roman" w:cs="Times New Roman"/>
          <w:i w:val="0"/>
          <w:iCs w:val="0"/>
          <w:sz w:val="21"/>
          <w:szCs w:val="21"/>
          <w:lang w:val="uk-UA" w:eastAsia="ru-RU" w:bidi="ar-SA"/>
        </w:rPr>
        <w:t>1. Розділ X "Перехідні положення" Земельного кодексу України (Відомості Верховної Ради України, 2002 р., № 3-4, ст. 27) доповнено пунктом 20 такого змісту: "20. Установити, що у разі, якщо до 1 січня 2013 року була розроблена технічна документація із землеустрою щодо складання документів, що посвідчують право на земельну ділянку, на підставі рішення відповідного органу виконавчої влади чи органу місцевого самоврядування про надання або передачу земельної ділянки у власність або надання в користування, у тому числі на умовах оренди, формування земельної ділянки як об’єкта цивільних прав, крім випадків, визначених статтею 79-1 цього Кодексу, здійснюється за такою технічною документацією".</w:t>
      </w:r>
    </w:p>
    <w:p w:rsidR="003E54BA" w:rsidRPr="003E54BA" w:rsidRDefault="003E54BA" w:rsidP="003E54BA">
      <w:pPr>
        <w:spacing w:before="100" w:beforeAutospacing="1" w:after="100" w:afterAutospacing="1" w:line="240" w:lineRule="auto"/>
        <w:jc w:val="both"/>
        <w:rPr>
          <w:rFonts w:ascii="Times New Roman" w:eastAsia="Times New Roman" w:hAnsi="Times New Roman" w:cs="Times New Roman"/>
          <w:i w:val="0"/>
          <w:iCs w:val="0"/>
          <w:sz w:val="24"/>
          <w:szCs w:val="24"/>
          <w:lang w:val="uk-UA" w:eastAsia="ru-RU" w:bidi="ar-SA"/>
        </w:rPr>
      </w:pPr>
      <w:r w:rsidRPr="003E54BA">
        <w:rPr>
          <w:rFonts w:ascii="Times New Roman" w:eastAsia="Times New Roman" w:hAnsi="Times New Roman" w:cs="Times New Roman"/>
          <w:i w:val="0"/>
          <w:iCs w:val="0"/>
          <w:sz w:val="21"/>
          <w:szCs w:val="21"/>
          <w:lang w:val="uk-UA" w:eastAsia="ru-RU" w:bidi="ar-SA"/>
        </w:rPr>
        <w:t>2. Пункт 2 розділу VII "Прикінцеві та перехідні положення" Закону України "Про Державний земельний кадастр" (Відомості Верховної Ради України, 2012 р., № 8, ст. 61; 2014 р., № 11, ст. 136) доповнено абзацом п’ятим такого змісту: "У разі якщо до 1 січня 2013 року була розроблена технічна документація із землеустрою щодо складання документів, що посвідчують право на земельну ділянку, на підставі рішення відповідного органу виконавчої влади чи органу місцевого самоврядування про надання або передачу земельної ділянки у власність або надання в користування, у тому числі на умовах оренди, а відомості про таку земельну ділянку не внесені до Державного реєстру земель, державна реєстрація такої земельної ділянки здійснюється на підставі зазначеної технічної документації із землеустрою в порядку, встановленому законом".</w:t>
      </w:r>
    </w:p>
    <w:p w:rsidR="003E54BA" w:rsidRPr="003E54BA" w:rsidRDefault="003E54BA" w:rsidP="003E54BA">
      <w:pPr>
        <w:spacing w:before="100" w:beforeAutospacing="1" w:after="100" w:afterAutospacing="1" w:line="240" w:lineRule="auto"/>
        <w:jc w:val="both"/>
        <w:rPr>
          <w:rFonts w:ascii="Times New Roman" w:eastAsia="Times New Roman" w:hAnsi="Times New Roman" w:cs="Times New Roman"/>
          <w:i w:val="0"/>
          <w:iCs w:val="0"/>
          <w:sz w:val="24"/>
          <w:szCs w:val="24"/>
          <w:lang w:val="uk-UA" w:eastAsia="ru-RU" w:bidi="ar-SA"/>
        </w:rPr>
      </w:pPr>
      <w:r w:rsidRPr="003E54BA">
        <w:rPr>
          <w:rFonts w:ascii="Times New Roman" w:eastAsia="Times New Roman" w:hAnsi="Times New Roman" w:cs="Times New Roman"/>
          <w:i w:val="0"/>
          <w:iCs w:val="0"/>
          <w:sz w:val="21"/>
          <w:szCs w:val="21"/>
          <w:lang w:val="uk-UA" w:eastAsia="ru-RU" w:bidi="ar-SA"/>
        </w:rPr>
        <w:t>Закон України від 14 травня 2015 року №418-VIII "Про внесення змін до деяких законодавчих актів України щодо формування земельних ділянок та їх державної реєстрації на підставі документації із землеустрою, розробленої до 2013 року" набирає чинності 06 червня 2015 року (опубліковано в Голос України від 05.06.2015 №98).</w:t>
      </w:r>
    </w:p>
    <w:p w:rsidR="00CB5DAA" w:rsidRDefault="00CB5DAA"/>
    <w:sectPr w:rsidR="00CB5DAA" w:rsidSect="00CB5D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54BA"/>
    <w:rsid w:val="00017A8D"/>
    <w:rsid w:val="00271884"/>
    <w:rsid w:val="003E54BA"/>
    <w:rsid w:val="004B4EE6"/>
    <w:rsid w:val="005B6D2B"/>
    <w:rsid w:val="007C7ED7"/>
    <w:rsid w:val="007F5220"/>
    <w:rsid w:val="00BC71B1"/>
    <w:rsid w:val="00CB5DAA"/>
    <w:rsid w:val="00D1581B"/>
    <w:rsid w:val="00D2020D"/>
    <w:rsid w:val="00E41D6A"/>
    <w:rsid w:val="00EC64F6"/>
    <w:rsid w:val="00F04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EE6"/>
    <w:rPr>
      <w:i/>
      <w:iCs/>
      <w:sz w:val="20"/>
      <w:szCs w:val="20"/>
    </w:rPr>
  </w:style>
  <w:style w:type="paragraph" w:styleId="1">
    <w:name w:val="heading 1"/>
    <w:basedOn w:val="a"/>
    <w:next w:val="a"/>
    <w:link w:val="10"/>
    <w:uiPriority w:val="9"/>
    <w:qFormat/>
    <w:rsid w:val="004B4EE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4B4EE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4B4EE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4B4EE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4B4EE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4B4EE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4B4EE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4B4EE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4B4EE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EE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4B4EE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4B4EE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4B4EE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4B4EE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4B4EE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4B4EE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4B4EE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4B4EE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4B4EE6"/>
    <w:rPr>
      <w:b/>
      <w:bCs/>
      <w:color w:val="943634" w:themeColor="accent2" w:themeShade="BF"/>
      <w:sz w:val="18"/>
      <w:szCs w:val="18"/>
    </w:rPr>
  </w:style>
  <w:style w:type="paragraph" w:styleId="a4">
    <w:name w:val="Title"/>
    <w:basedOn w:val="a"/>
    <w:next w:val="a"/>
    <w:link w:val="a5"/>
    <w:uiPriority w:val="10"/>
    <w:qFormat/>
    <w:rsid w:val="004B4EE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4B4EE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4B4EE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4B4EE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4B4EE6"/>
    <w:rPr>
      <w:b/>
      <w:bCs/>
      <w:spacing w:val="0"/>
    </w:rPr>
  </w:style>
  <w:style w:type="character" w:styleId="a9">
    <w:name w:val="Emphasis"/>
    <w:uiPriority w:val="20"/>
    <w:qFormat/>
    <w:rsid w:val="004B4EE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4B4EE6"/>
    <w:pPr>
      <w:spacing w:after="0" w:line="240" w:lineRule="auto"/>
    </w:pPr>
  </w:style>
  <w:style w:type="character" w:customStyle="1" w:styleId="ab">
    <w:name w:val="Без интервала Знак"/>
    <w:basedOn w:val="a0"/>
    <w:link w:val="aa"/>
    <w:uiPriority w:val="1"/>
    <w:rsid w:val="004B4EE6"/>
    <w:rPr>
      <w:i/>
      <w:iCs/>
      <w:sz w:val="20"/>
      <w:szCs w:val="20"/>
    </w:rPr>
  </w:style>
  <w:style w:type="paragraph" w:styleId="ac">
    <w:name w:val="List Paragraph"/>
    <w:basedOn w:val="a"/>
    <w:uiPriority w:val="34"/>
    <w:qFormat/>
    <w:rsid w:val="004B4EE6"/>
    <w:pPr>
      <w:ind w:left="720"/>
      <w:contextualSpacing/>
    </w:pPr>
  </w:style>
  <w:style w:type="paragraph" w:styleId="21">
    <w:name w:val="Quote"/>
    <w:basedOn w:val="a"/>
    <w:next w:val="a"/>
    <w:link w:val="22"/>
    <w:uiPriority w:val="29"/>
    <w:qFormat/>
    <w:rsid w:val="004B4EE6"/>
    <w:rPr>
      <w:i w:val="0"/>
      <w:iCs w:val="0"/>
      <w:color w:val="943634" w:themeColor="accent2" w:themeShade="BF"/>
    </w:rPr>
  </w:style>
  <w:style w:type="character" w:customStyle="1" w:styleId="22">
    <w:name w:val="Цитата 2 Знак"/>
    <w:basedOn w:val="a0"/>
    <w:link w:val="21"/>
    <w:uiPriority w:val="29"/>
    <w:rsid w:val="004B4EE6"/>
    <w:rPr>
      <w:color w:val="943634" w:themeColor="accent2" w:themeShade="BF"/>
      <w:sz w:val="20"/>
      <w:szCs w:val="20"/>
    </w:rPr>
  </w:style>
  <w:style w:type="paragraph" w:styleId="ad">
    <w:name w:val="Intense Quote"/>
    <w:basedOn w:val="a"/>
    <w:next w:val="a"/>
    <w:link w:val="ae"/>
    <w:uiPriority w:val="30"/>
    <w:qFormat/>
    <w:rsid w:val="004B4EE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4B4EE6"/>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4B4EE6"/>
    <w:rPr>
      <w:rFonts w:asciiTheme="majorHAnsi" w:eastAsiaTheme="majorEastAsia" w:hAnsiTheme="majorHAnsi" w:cstheme="majorBidi"/>
      <w:i/>
      <w:iCs/>
      <w:color w:val="C0504D" w:themeColor="accent2"/>
    </w:rPr>
  </w:style>
  <w:style w:type="character" w:styleId="af0">
    <w:name w:val="Intense Emphasis"/>
    <w:uiPriority w:val="21"/>
    <w:qFormat/>
    <w:rsid w:val="004B4EE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4B4EE6"/>
    <w:rPr>
      <w:i/>
      <w:iCs/>
      <w:smallCaps/>
      <w:color w:val="C0504D" w:themeColor="accent2"/>
      <w:u w:color="C0504D" w:themeColor="accent2"/>
    </w:rPr>
  </w:style>
  <w:style w:type="character" w:styleId="af2">
    <w:name w:val="Intense Reference"/>
    <w:uiPriority w:val="32"/>
    <w:qFormat/>
    <w:rsid w:val="004B4EE6"/>
    <w:rPr>
      <w:b/>
      <w:bCs/>
      <w:i/>
      <w:iCs/>
      <w:smallCaps/>
      <w:color w:val="C0504D" w:themeColor="accent2"/>
      <w:u w:color="C0504D" w:themeColor="accent2"/>
    </w:rPr>
  </w:style>
  <w:style w:type="character" w:styleId="af3">
    <w:name w:val="Book Title"/>
    <w:uiPriority w:val="33"/>
    <w:qFormat/>
    <w:rsid w:val="004B4EE6"/>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4B4EE6"/>
    <w:pPr>
      <w:outlineLvl w:val="9"/>
    </w:pPr>
  </w:style>
  <w:style w:type="paragraph" w:styleId="af5">
    <w:name w:val="Normal (Web)"/>
    <w:basedOn w:val="a"/>
    <w:uiPriority w:val="99"/>
    <w:unhideWhenUsed/>
    <w:rsid w:val="003E54BA"/>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styleId="af6">
    <w:name w:val="Hyperlink"/>
    <w:basedOn w:val="a0"/>
    <w:uiPriority w:val="99"/>
    <w:semiHidden/>
    <w:unhideWhenUsed/>
    <w:rsid w:val="003E54BA"/>
    <w:rPr>
      <w:color w:val="0000FF"/>
      <w:u w:val="single"/>
    </w:rPr>
  </w:style>
  <w:style w:type="paragraph" w:styleId="af7">
    <w:name w:val="Balloon Text"/>
    <w:basedOn w:val="a"/>
    <w:link w:val="af8"/>
    <w:uiPriority w:val="99"/>
    <w:semiHidden/>
    <w:unhideWhenUsed/>
    <w:rsid w:val="003E54BA"/>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E54BA"/>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1828203103">
      <w:bodyDiv w:val="1"/>
      <w:marLeft w:val="0"/>
      <w:marRight w:val="0"/>
      <w:marTop w:val="0"/>
      <w:marBottom w:val="0"/>
      <w:divBdr>
        <w:top w:val="none" w:sz="0" w:space="0" w:color="auto"/>
        <w:left w:val="none" w:sz="0" w:space="0" w:color="auto"/>
        <w:bottom w:val="none" w:sz="0" w:space="0" w:color="auto"/>
        <w:right w:val="none" w:sz="0" w:space="0" w:color="auto"/>
      </w:divBdr>
      <w:divsChild>
        <w:div w:id="193955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4.rada.gov.ua/laws/show/41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1977</Characters>
  <Application>Microsoft Office Word</Application>
  <DocSecurity>0</DocSecurity>
  <Lines>16</Lines>
  <Paragraphs>4</Paragraphs>
  <ScaleCrop>false</ScaleCrop>
  <Company>Microsoft</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2015-06-08T12:03:00Z</dcterms:created>
  <dcterms:modified xsi:type="dcterms:W3CDTF">2015-06-08T12:05:00Z</dcterms:modified>
</cp:coreProperties>
</file>