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A93" w:rsidRPr="00152A93" w:rsidRDefault="00152A93" w:rsidP="00152A93">
      <w:pPr>
        <w:pBdr>
          <w:bottom w:val="dashed" w:sz="6" w:space="0" w:color="333333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</w:pPr>
      <w:proofErr w:type="spellStart"/>
      <w:proofErr w:type="gram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Щодо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прийняття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наказу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Міністерства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юстиції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України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від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03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грудня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2014 року № 2046/5 «Про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внесення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змін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до наказу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Міністерства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юстиції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України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від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14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жовтня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2011 року № 3178/5»,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зареєстрованого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в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Міністерстві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юстиції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України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03 </w:t>
      </w:r>
      <w:proofErr w:type="spellStart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>грудня</w:t>
      </w:r>
      <w:proofErr w:type="spellEnd"/>
      <w:r w:rsidRPr="00152A93">
        <w:rPr>
          <w:rFonts w:ascii="Tahoma" w:eastAsia="Times New Roman" w:hAnsi="Tahoma" w:cs="Tahoma"/>
          <w:b/>
          <w:bCs/>
          <w:kern w:val="36"/>
          <w:sz w:val="32"/>
          <w:szCs w:val="32"/>
          <w:lang w:eastAsia="ru-RU"/>
        </w:rPr>
        <w:t xml:space="preserve"> 2014 року за № 1561/26338</w:t>
      </w:r>
      <w:proofErr w:type="gramEnd"/>
    </w:p>
    <w:p w:rsidR="00152A93" w:rsidRPr="00152A93" w:rsidRDefault="00152A93" w:rsidP="00152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03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грудня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2014 року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Міністерством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юстиції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України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прийнято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наказ № 2046/5 «Про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внесення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змін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до наказу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Міністерства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юстиції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України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від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14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жовтня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2011 року № 3178/5»,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зареєстрований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в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Міністерстві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юстиції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України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03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грудня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2014 року за № 1561/26338, (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набирає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чинності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17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грудня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2014 року),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яким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внесено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зміни</w:t>
      </w:r>
      <w:proofErr w:type="spellEnd"/>
      <w:proofErr w:type="gram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реєстраційних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карток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Форм 1 – 5 та 16.</w:t>
      </w:r>
    </w:p>
    <w:p w:rsidR="00152A93" w:rsidRPr="00152A93" w:rsidRDefault="00152A93" w:rsidP="00152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Наказ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спрямований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на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забезпечення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реалізації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вимог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Закону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України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від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14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жовтня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2014 року № 1701-VII «Про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внесення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змін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деяких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законодавчих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актів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України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щодо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визначення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кінцевих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вигодоодержувачів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осіб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та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публічних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діячів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» 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частині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внесення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Єдиного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державного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реєстру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осіб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та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фізичних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осіб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</w:t>
      </w:r>
      <w:proofErr w:type="gram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ідприємців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інформації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про:</w:t>
      </w:r>
    </w:p>
    <w:p w:rsidR="00152A93" w:rsidRPr="00152A93" w:rsidRDefault="00152A93" w:rsidP="00152A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засновників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юридичної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особи; </w:t>
      </w:r>
    </w:p>
    <w:p w:rsidR="00152A93" w:rsidRPr="00152A93" w:rsidRDefault="00152A93" w:rsidP="00152A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кінцевого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вигодоодержувача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юридичної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особи, </w:t>
      </w:r>
      <w:proofErr w:type="gram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у</w:t>
      </w:r>
      <w:proofErr w:type="gram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тому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числі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кінцевого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вигодоодержувача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її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засновника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якщо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засновник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–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особа; </w:t>
      </w:r>
    </w:p>
    <w:p w:rsidR="00152A93" w:rsidRPr="00152A93" w:rsidRDefault="00152A93" w:rsidP="00152A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320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структуру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власності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засновників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–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proofErr w:type="gram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осіб</w:t>
      </w:r>
      <w:proofErr w:type="spellEnd"/>
      <w:proofErr w:type="gram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, яка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дає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можливість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встановити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фізичних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осіб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–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власників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істотної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участі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цих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осіб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. </w:t>
      </w:r>
    </w:p>
    <w:p w:rsidR="00152A93" w:rsidRPr="00152A93" w:rsidRDefault="00152A93" w:rsidP="00152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</w:t>
      </w:r>
      <w:proofErr w:type="gram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метою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виконання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вимог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розділу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II «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Прикінцеві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та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перехідні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положення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»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вищезазначеного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Закону,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відповідно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яких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особи,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зареєстровані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набрання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чинності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цим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Законом,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подають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державному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реєстратору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відомості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про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свого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кінцевого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вигодоодержувача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(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вигодоодержувачів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), у тому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числі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кінцевого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вигодоодержувача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(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вигодоодержувачів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)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їх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засновника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якщо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засновник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–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особа,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упродовж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шести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місяців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дня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набрання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чинності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цим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Законом,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представники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юридичних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proofErr w:type="gram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осіб</w:t>
      </w:r>
      <w:proofErr w:type="spellEnd"/>
      <w:proofErr w:type="gram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повинні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подавати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державному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реєстратору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реєстраційну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картку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Форма 4.</w:t>
      </w:r>
    </w:p>
    <w:p w:rsidR="00152A93" w:rsidRPr="00152A93" w:rsidRDefault="00152A93" w:rsidP="00152A9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Зазначена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реєстраційна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картка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(Форма 4) </w:t>
      </w:r>
      <w:proofErr w:type="spellStart"/>
      <w:proofErr w:type="gram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подається</w:t>
      </w:r>
      <w:proofErr w:type="spellEnd"/>
      <w:proofErr w:type="gram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також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у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разі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зміни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кінцевого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вигодоодержувача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та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зміни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відомостей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 xml:space="preserve"> про </w:t>
      </w:r>
      <w:proofErr w:type="spellStart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нього</w:t>
      </w:r>
      <w:proofErr w:type="spellEnd"/>
      <w:r w:rsidRPr="00152A93">
        <w:rPr>
          <w:rFonts w:ascii="Tahoma" w:eastAsia="Times New Roman" w:hAnsi="Tahoma" w:cs="Tahoma"/>
          <w:sz w:val="28"/>
          <w:szCs w:val="28"/>
          <w:lang w:eastAsia="ru-RU"/>
        </w:rPr>
        <w:t>.</w:t>
      </w:r>
    </w:p>
    <w:p w:rsidR="003B6BDF" w:rsidRPr="00152A93" w:rsidRDefault="003B6BDF" w:rsidP="00152A93">
      <w:pPr>
        <w:jc w:val="both"/>
        <w:rPr>
          <w:sz w:val="28"/>
          <w:szCs w:val="28"/>
        </w:rPr>
      </w:pPr>
    </w:p>
    <w:sectPr w:rsidR="003B6BDF" w:rsidRPr="00152A93" w:rsidSect="00152A9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C18E9"/>
    <w:multiLevelType w:val="multilevel"/>
    <w:tmpl w:val="3D6A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A93"/>
    <w:rsid w:val="00152A93"/>
    <w:rsid w:val="003B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2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7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586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0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8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8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Користувач10</dc:creator>
  <cp:lastModifiedBy>Користувач10</cp:lastModifiedBy>
  <cp:revision>2</cp:revision>
  <cp:lastPrinted>2015-01-05T09:50:00Z</cp:lastPrinted>
  <dcterms:created xsi:type="dcterms:W3CDTF">2015-01-05T09:48:00Z</dcterms:created>
  <dcterms:modified xsi:type="dcterms:W3CDTF">2015-01-05T09:50:00Z</dcterms:modified>
</cp:coreProperties>
</file>