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  <w:lang w:val="ru-RU"/>
        </w:rPr>
        <w:id w:val="29664320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/>
          <w:color w:val="auto"/>
          <w:sz w:val="24"/>
          <w:szCs w:val="24"/>
          <w:lang w:val="uk-UA" w:eastAsia="ru-RU"/>
        </w:rPr>
      </w:sdtEndPr>
      <w:sdtContent>
        <w:p w:rsidR="005965F3" w:rsidRDefault="00647667" w:rsidP="00FC6D78">
          <w:pPr>
            <w:spacing w:after="120" w:line="240" w:lineRule="auto"/>
            <w:ind w:firstLine="567"/>
            <w:jc w:val="center"/>
            <w:rPr>
              <w:color w:val="7F7F7F" w:themeColor="text1" w:themeTint="80"/>
              <w:sz w:val="32"/>
              <w:szCs w:val="32"/>
            </w:rPr>
          </w:pPr>
          <w:r w:rsidRPr="00647667">
            <w:rPr>
              <w:color w:val="C4BC96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3120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  <w:r w:rsidR="005965F3" w:rsidRPr="005965F3">
            <w:rPr>
              <w:color w:val="7F7F7F" w:themeColor="text1" w:themeTint="80"/>
              <w:sz w:val="32"/>
              <w:szCs w:val="32"/>
            </w:rPr>
            <w:t>Головне управління юстиції у Кіровоградській області</w:t>
          </w:r>
        </w:p>
        <w:p w:rsidR="005965F3" w:rsidRDefault="005965F3" w:rsidP="005965F3">
          <w:pPr>
            <w:jc w:val="center"/>
            <w:rPr>
              <w:color w:val="7F7F7F" w:themeColor="text1" w:themeTint="80"/>
              <w:sz w:val="32"/>
              <w:szCs w:val="32"/>
              <w:lang w:val="ru-RU"/>
            </w:rPr>
          </w:pPr>
          <w:r>
            <w:rPr>
              <w:color w:val="7F7F7F" w:themeColor="text1" w:themeTint="80"/>
              <w:sz w:val="32"/>
              <w:szCs w:val="32"/>
            </w:rPr>
            <w:t>Бобринецьке районне управління юстиції</w: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576"/>
          </w:tblGrid>
          <w:tr w:rsidR="005965F3">
            <w:tc>
              <w:tcPr>
                <w:tcW w:w="9576" w:type="dxa"/>
              </w:tcPr>
              <w:p w:rsidR="005965F3" w:rsidRDefault="00647667" w:rsidP="00FC6D78">
                <w:pPr>
                  <w:pStyle w:val="a8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Подзаголовок"/>
                    <w:id w:val="19000717"/>
                    <w:placeholder>
                      <w:docPart w:val="F0CBA48D614B4CBAAA6AC17B7664672C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proofErr w:type="spellStart"/>
                    <w:r w:rsidR="00FC6D78">
                      <w:rPr>
                        <w:color w:val="7F7F7F" w:themeColor="text1" w:themeTint="80"/>
                        <w:sz w:val="32"/>
                        <w:szCs w:val="32"/>
                        <w:lang w:val="uk-UA"/>
                      </w:rPr>
                      <w:t>м.Бобринець</w:t>
                    </w:r>
                    <w:proofErr w:type="spellEnd"/>
                  </w:sdtContent>
                </w:sdt>
                <w:r w:rsidR="005965F3">
                  <w:rPr>
                    <w:color w:val="7F7F7F" w:themeColor="text1" w:themeTint="80"/>
                    <w:sz w:val="32"/>
                    <w:szCs w:val="32"/>
                  </w:rPr>
                  <w:t xml:space="preserve"> | </w:t>
                </w: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Автор"/>
                    <w:id w:val="19000724"/>
                    <w:placeholder>
                      <w:docPart w:val="8ADC391A38584CEC995D1EF99992747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FC6D78">
                      <w:rPr>
                        <w:color w:val="7F7F7F" w:themeColor="text1" w:themeTint="80"/>
                        <w:sz w:val="32"/>
                        <w:szCs w:val="32"/>
                        <w:lang w:val="uk-UA"/>
                      </w:rPr>
                      <w:t>2014 рік</w:t>
                    </w:r>
                  </w:sdtContent>
                </w:sdt>
              </w:p>
            </w:tc>
          </w:tr>
        </w:tbl>
        <w:p w:rsidR="005965F3" w:rsidRDefault="005965F3">
          <w:pPr>
            <w:jc w:val="right"/>
            <w:rPr>
              <w:color w:val="7F7F7F" w:themeColor="text1" w:themeTint="80"/>
              <w:sz w:val="32"/>
              <w:szCs w:val="32"/>
              <w:lang w:val="ru-RU"/>
            </w:rPr>
          </w:pPr>
        </w:p>
        <w:p w:rsidR="005965F3" w:rsidRDefault="00647667">
          <w:pPr>
            <w:rPr>
              <w:rFonts w:eastAsia="Times New Roman" w:cs="Times New Roman"/>
              <w:b/>
              <w:bCs/>
              <w:sz w:val="24"/>
              <w:szCs w:val="24"/>
              <w:lang w:eastAsia="ru-RU"/>
            </w:rPr>
          </w:pPr>
          <w:r w:rsidRPr="00647667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9" style="position:absolute;margin-left:0;margin-top:0;width:535.8pt;height:73.95pt;z-index:251664384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871"/>
                        <w:gridCol w:w="7859"/>
                      </w:tblGrid>
                      <w:tr w:rsidR="00FC6D78">
                        <w:trPr>
                          <w:trHeight w:val="1080"/>
                        </w:trPr>
                        <w:tc>
                          <w:tcPr>
                            <w:tcW w:w="1000" w:type="pct"/>
                            <w:shd w:val="clear" w:color="auto" w:fill="000000" w:themeFill="text1"/>
                            <w:vAlign w:val="center"/>
                          </w:tcPr>
                          <w:p w:rsidR="005965F3" w:rsidRPr="00F52099" w:rsidRDefault="00FC6D78">
                            <w:pPr>
                              <w:pStyle w:val="a8"/>
                              <w:rPr>
                                <w:b/>
                                <w:smallCaps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F52099">
                              <w:rPr>
                                <w:b/>
                                <w:smallCaps/>
                                <w:sz w:val="40"/>
                                <w:szCs w:val="40"/>
                                <w:lang w:val="uk-UA"/>
                              </w:rPr>
                              <w:t>Методичні рекомендації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smallCaps/>
                              <w:sz w:val="48"/>
                              <w:szCs w:val="48"/>
                            </w:rPr>
                            <w:alias w:val="Заголовок"/>
                            <w:id w:val="5716113"/>
                            <w:placeholder>
                              <w:docPart w:val="ABC2B9C943C7400F9B0464EADAB80BFA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5965F3" w:rsidRPr="00C1633E" w:rsidRDefault="00FC6D78" w:rsidP="00FC6D78">
                                <w:pPr>
                                  <w:pStyle w:val="a8"/>
                                  <w:rPr>
                                    <w:smallCaps/>
                                    <w:sz w:val="48"/>
                                    <w:szCs w:val="48"/>
                                  </w:rPr>
                                </w:pPr>
                                <w:r w:rsidRPr="00C1633E">
                                  <w:rPr>
                                    <w:b/>
                                    <w:smallCaps/>
                                    <w:sz w:val="48"/>
                                    <w:szCs w:val="48"/>
                                    <w:lang w:val="uk-UA"/>
                                  </w:rPr>
                                  <w:t>Поняття та форми систематизації нормативно-правових актів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5965F3" w:rsidRDefault="005965F3">
                      <w:pPr>
                        <w:pStyle w:val="a8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5965F3">
            <w:rPr>
              <w:rFonts w:eastAsia="Times New Roman" w:cs="Times New Roman"/>
              <w:b/>
              <w:bCs/>
              <w:sz w:val="24"/>
              <w:szCs w:val="24"/>
              <w:lang w:eastAsia="ru-RU"/>
            </w:rPr>
            <w:br w:type="page"/>
          </w:r>
        </w:p>
      </w:sdtContent>
    </w:sdt>
    <w:p w:rsidR="00346ABB" w:rsidRPr="00FC6D78" w:rsidRDefault="00346ABB" w:rsidP="00346ABB">
      <w:pPr>
        <w:spacing w:after="120" w:line="240" w:lineRule="auto"/>
        <w:ind w:firstLine="567"/>
        <w:jc w:val="both"/>
        <w:rPr>
          <w:rFonts w:ascii="Cambria" w:eastAsia="Times New Roman" w:hAnsi="Cambria" w:cs="Times New Roman"/>
          <w:i/>
          <w:color w:val="403152" w:themeColor="accent4" w:themeShade="80"/>
          <w:sz w:val="28"/>
          <w:szCs w:val="28"/>
          <w:lang w:eastAsia="ru-RU"/>
        </w:rPr>
      </w:pPr>
      <w:r w:rsidRPr="00FC6D78">
        <w:rPr>
          <w:rFonts w:ascii="Cambria" w:eastAsia="Times New Roman" w:hAnsi="Cambria" w:cs="Times New Roman"/>
          <w:b/>
          <w:bCs/>
          <w:i/>
          <w:color w:val="403152" w:themeColor="accent4" w:themeShade="80"/>
          <w:sz w:val="28"/>
          <w:szCs w:val="28"/>
          <w:lang w:eastAsia="ru-RU"/>
        </w:rPr>
        <w:lastRenderedPageBreak/>
        <w:t>Поняття та форми систематизації нормативно-правових актів</w:t>
      </w:r>
      <w:r w:rsidRPr="00FC6D78">
        <w:rPr>
          <w:rFonts w:ascii="Cambria" w:eastAsia="Times New Roman" w:hAnsi="Cambria" w:cs="Times New Roman"/>
          <w:i/>
          <w:color w:val="403152" w:themeColor="accent4" w:themeShade="80"/>
          <w:sz w:val="28"/>
          <w:szCs w:val="28"/>
          <w:lang w:eastAsia="ru-RU"/>
        </w:rPr>
        <w:t xml:space="preserve"> </w:t>
      </w:r>
    </w:p>
    <w:p w:rsidR="002C3DC5" w:rsidRPr="00560541" w:rsidRDefault="002C3DC5" w:rsidP="00E01EBB">
      <w:pPr>
        <w:pStyle w:val="rvps2"/>
        <w:ind w:firstLine="426"/>
        <w:jc w:val="both"/>
        <w:rPr>
          <w:rStyle w:val="rvts23"/>
          <w:rFonts w:ascii="Cambria" w:hAnsi="Cambria"/>
          <w:i/>
          <w:sz w:val="26"/>
          <w:szCs w:val="26"/>
          <w:lang w:val="uk-UA"/>
        </w:rPr>
      </w:pPr>
      <w:r w:rsidRPr="00560541">
        <w:rPr>
          <w:rStyle w:val="rvts23"/>
          <w:rFonts w:ascii="Cambria" w:hAnsi="Cambria"/>
          <w:i/>
          <w:sz w:val="26"/>
          <w:szCs w:val="26"/>
          <w:lang w:val="uk-UA"/>
        </w:rPr>
        <w:t>Діяльність юридичної служби органу виконавчої влади, підприємства, установи, організації здійснюється у відповідності до Загального положення про юридичну службу міністерства, іншого органу виконавчої влади, державного підприємства, установи та організації</w:t>
      </w:r>
      <w:r w:rsidRPr="00560541">
        <w:rPr>
          <w:rStyle w:val="rvts23"/>
          <w:rFonts w:asciiTheme="majorHAnsi" w:hAnsiTheme="majorHAnsi"/>
          <w:i/>
          <w:sz w:val="26"/>
          <w:szCs w:val="26"/>
          <w:lang w:val="uk-UA"/>
        </w:rPr>
        <w:t xml:space="preserve">, затвердженого Постановою Кабінету Міністрів України від </w:t>
      </w:r>
      <w:r w:rsidRPr="00560541">
        <w:rPr>
          <w:rStyle w:val="rvts9"/>
          <w:rFonts w:ascii="Cambria" w:hAnsi="Cambria"/>
          <w:i/>
          <w:sz w:val="26"/>
          <w:szCs w:val="26"/>
          <w:lang w:val="uk-UA"/>
        </w:rPr>
        <w:t>26 листопада 2008 р. № 1040 (далі – Загальне положення про юридичну службу).</w:t>
      </w:r>
    </w:p>
    <w:p w:rsidR="0065777A" w:rsidRPr="00560541" w:rsidRDefault="002C3DC5" w:rsidP="00E01EBB">
      <w:pPr>
        <w:pStyle w:val="rvps2"/>
        <w:ind w:firstLine="426"/>
        <w:jc w:val="both"/>
        <w:rPr>
          <w:rFonts w:asciiTheme="minorHAnsi" w:hAnsiTheme="minorHAnsi"/>
          <w:sz w:val="26"/>
          <w:szCs w:val="26"/>
          <w:lang w:val="uk-UA"/>
        </w:rPr>
      </w:pPr>
      <w:r w:rsidRPr="00560541">
        <w:rPr>
          <w:rStyle w:val="rvts23"/>
          <w:rFonts w:asciiTheme="minorHAnsi" w:hAnsiTheme="minorHAnsi"/>
          <w:sz w:val="26"/>
          <w:szCs w:val="26"/>
          <w:lang w:val="uk-UA"/>
        </w:rPr>
        <w:t xml:space="preserve">Так, </w:t>
      </w:r>
      <w:r w:rsidR="0065777A" w:rsidRPr="00560541">
        <w:rPr>
          <w:rStyle w:val="rvts23"/>
          <w:rFonts w:asciiTheme="minorHAnsi" w:hAnsiTheme="minorHAnsi"/>
          <w:sz w:val="26"/>
          <w:szCs w:val="26"/>
          <w:lang w:val="uk-UA"/>
        </w:rPr>
        <w:t xml:space="preserve">Загальним положенням про юридичну службу </w:t>
      </w:r>
      <w:r w:rsidR="00E01EBB" w:rsidRPr="00560541">
        <w:rPr>
          <w:rStyle w:val="rvts9"/>
          <w:rFonts w:asciiTheme="minorHAnsi" w:hAnsiTheme="minorHAnsi"/>
          <w:sz w:val="26"/>
          <w:szCs w:val="26"/>
          <w:lang w:val="uk-UA"/>
        </w:rPr>
        <w:t xml:space="preserve">до завдань юридичної служби органу виконавчої влади, підприємства віднесено </w:t>
      </w:r>
      <w:r w:rsidR="00E01EBB" w:rsidRPr="00560541">
        <w:rPr>
          <w:rFonts w:asciiTheme="minorHAnsi" w:hAnsiTheme="minorHAnsi"/>
          <w:b/>
          <w:sz w:val="26"/>
          <w:szCs w:val="26"/>
          <w:lang w:val="uk-UA"/>
        </w:rPr>
        <w:t>ведення обліку актів законодавства і міжнародних договорів України, забезпечення підтримання їх у контрольному стані та зберігання; та збір інформації про офіційне оприлюднення актів законодавства в друкованих виданнях</w:t>
      </w:r>
      <w:r w:rsidR="00E01EBB" w:rsidRPr="00560541">
        <w:rPr>
          <w:rFonts w:asciiTheme="minorHAnsi" w:hAnsiTheme="minorHAnsi"/>
          <w:sz w:val="26"/>
          <w:szCs w:val="26"/>
          <w:lang w:val="uk-UA"/>
        </w:rPr>
        <w:t xml:space="preserve"> </w:t>
      </w:r>
      <w:r w:rsidR="00E01EBB" w:rsidRPr="00560541">
        <w:rPr>
          <w:rStyle w:val="rvts9"/>
          <w:rFonts w:asciiTheme="minorHAnsi" w:hAnsiTheme="minorHAnsi"/>
          <w:sz w:val="26"/>
          <w:szCs w:val="26"/>
          <w:lang w:val="uk-UA"/>
        </w:rPr>
        <w:t>(підпункти 18), 19) пункту 10; підпункти 17), 18) пункту 11 Загального положення про юридичну службу)</w:t>
      </w:r>
    </w:p>
    <w:p w:rsidR="00DF3441" w:rsidRPr="00560541" w:rsidRDefault="002C3DC5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sz w:val="26"/>
          <w:szCs w:val="26"/>
        </w:rPr>
        <w:t xml:space="preserve">Виконання відповідних функцій є </w:t>
      </w:r>
      <w:r w:rsidRPr="00560541">
        <w:rPr>
          <w:rStyle w:val="a3"/>
          <w:sz w:val="26"/>
          <w:szCs w:val="26"/>
        </w:rPr>
        <w:t>обов’язком</w:t>
      </w:r>
      <w:r w:rsidRPr="00560541">
        <w:rPr>
          <w:sz w:val="26"/>
          <w:szCs w:val="26"/>
        </w:rPr>
        <w:t xml:space="preserve"> юридичної служби та повинно бути передбачено в посадових інструкціях її працівників. Слід пам’ятати, що статтею 117 Конституції України  встановлено: «Кабінет  Міністрів   України  в  межах  своєї компетенції видає постанови і розпорядження,  які є  </w:t>
      </w:r>
      <w:r w:rsidRPr="00560541">
        <w:rPr>
          <w:rStyle w:val="a3"/>
          <w:sz w:val="26"/>
          <w:szCs w:val="26"/>
        </w:rPr>
        <w:t xml:space="preserve">обов’язковими </w:t>
      </w:r>
      <w:r w:rsidRPr="00560541">
        <w:rPr>
          <w:sz w:val="26"/>
          <w:szCs w:val="26"/>
        </w:rPr>
        <w:t xml:space="preserve">до виконання». Тобто, </w:t>
      </w:r>
      <w:r w:rsidRPr="00560541">
        <w:rPr>
          <w:rStyle w:val="a3"/>
          <w:sz w:val="26"/>
          <w:szCs w:val="26"/>
        </w:rPr>
        <w:t>ухилення від цієї роботи є порушенням вимог чинного законодавства.</w:t>
      </w:r>
    </w:p>
    <w:p w:rsidR="00E60949" w:rsidRPr="00560541" w:rsidRDefault="00E60949" w:rsidP="00E60949">
      <w:pPr>
        <w:pStyle w:val="a4"/>
        <w:ind w:firstLine="567"/>
        <w:jc w:val="both"/>
        <w:rPr>
          <w:rFonts w:asciiTheme="minorHAnsi" w:hAnsiTheme="minorHAnsi"/>
          <w:sz w:val="26"/>
          <w:szCs w:val="26"/>
          <w:lang w:val="uk-UA"/>
        </w:rPr>
      </w:pPr>
      <w:r w:rsidRPr="00560541">
        <w:rPr>
          <w:rFonts w:asciiTheme="minorHAnsi" w:hAnsiTheme="minorHAnsi"/>
          <w:sz w:val="26"/>
          <w:szCs w:val="26"/>
          <w:lang w:val="uk-UA"/>
        </w:rPr>
        <w:t>Пунктом 16 Загального положення визначено, що орган виконавчої влади, підприємство зобов`язані створювати умови для належної роботи і підвищення кваліфікації працівників юридичної служби, в тому числі забезпечувати їх нормативно-правовими актами  і довідковими матеріалами, іншими посібниками та літературою з правових питань, електронною системою інформаційно-правового забезпечення, а також доступом до інформаційних баз.</w:t>
      </w:r>
    </w:p>
    <w:p w:rsidR="00E60949" w:rsidRPr="00560541" w:rsidRDefault="00E60949" w:rsidP="00E60949">
      <w:pPr>
        <w:pStyle w:val="a4"/>
        <w:ind w:firstLine="567"/>
        <w:jc w:val="both"/>
        <w:rPr>
          <w:rFonts w:asciiTheme="minorHAnsi" w:hAnsiTheme="minorHAnsi"/>
          <w:sz w:val="26"/>
          <w:szCs w:val="26"/>
          <w:lang w:val="uk-UA"/>
        </w:rPr>
      </w:pPr>
      <w:r w:rsidRPr="00560541">
        <w:rPr>
          <w:rFonts w:asciiTheme="minorHAnsi" w:hAnsiTheme="minorHAnsi"/>
          <w:sz w:val="26"/>
          <w:szCs w:val="26"/>
          <w:lang w:val="uk-UA"/>
        </w:rPr>
        <w:t>Забезпечення юридичної служби нормативно-правовою базою є необхідним елементом здійснення роботи з питань систематизації законодавства. Воно здійснюється як в друкованому, так і в електронному вигляді.</w:t>
      </w:r>
    </w:p>
    <w:p w:rsidR="005965F3" w:rsidRPr="00FC6D78" w:rsidRDefault="005965F3" w:rsidP="00E60949">
      <w:pPr>
        <w:pStyle w:val="a4"/>
        <w:ind w:firstLine="567"/>
        <w:jc w:val="both"/>
        <w:rPr>
          <w:rFonts w:asciiTheme="majorHAnsi" w:hAnsiTheme="majorHAnsi"/>
          <w:b/>
          <w:i/>
          <w:color w:val="403152" w:themeColor="accent4" w:themeShade="80"/>
          <w:sz w:val="28"/>
          <w:szCs w:val="28"/>
          <w:lang w:val="uk-UA"/>
        </w:rPr>
      </w:pPr>
      <w:r w:rsidRPr="00FC6D78">
        <w:rPr>
          <w:rFonts w:asciiTheme="majorHAnsi" w:hAnsiTheme="majorHAnsi"/>
          <w:b/>
          <w:i/>
          <w:color w:val="403152" w:themeColor="accent4" w:themeShade="80"/>
          <w:sz w:val="28"/>
          <w:szCs w:val="28"/>
          <w:lang w:val="uk-UA"/>
        </w:rPr>
        <w:t>Щодо особливостей ведення роботи з даного напрямку.</w:t>
      </w:r>
    </w:p>
    <w:p w:rsidR="00712CCD" w:rsidRPr="00560541" w:rsidRDefault="00B631C8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Норма права закріплюється в нормативно-правовому акті, що є основним джерелом права в Україні.</w:t>
      </w:r>
      <w:r w:rsidR="00712CCD" w:rsidRPr="00560541">
        <w:rPr>
          <w:rFonts w:eastAsia="Times New Roman" w:cs="Times New Roman"/>
          <w:sz w:val="26"/>
          <w:szCs w:val="26"/>
          <w:lang w:eastAsia="ru-RU"/>
        </w:rPr>
        <w:t xml:space="preserve"> Нормативно-правовий акт можна визначити як офіційний письмовий документ компетентного органу, в якому закріплене забезпечуване державою формально-обов'язкове правило поведінки загального характеру.</w:t>
      </w:r>
    </w:p>
    <w:p w:rsidR="008C31D8" w:rsidRPr="00560541" w:rsidRDefault="008C31D8" w:rsidP="00346ABB">
      <w:pPr>
        <w:spacing w:after="120" w:line="240" w:lineRule="auto"/>
        <w:ind w:firstLine="567"/>
        <w:jc w:val="both"/>
        <w:rPr>
          <w:sz w:val="26"/>
          <w:szCs w:val="26"/>
        </w:rPr>
      </w:pPr>
      <w:r w:rsidRPr="00560541">
        <w:rPr>
          <w:sz w:val="26"/>
          <w:szCs w:val="26"/>
        </w:rPr>
        <w:t>Систематизація нормативно-правових актів — це діяльність, пов'язана з упорядкуванням і удосконаленням законодавчих та інших нормативно-правових актів, зведення їх у єдину внутрішньо узгоджену систему.</w:t>
      </w:r>
    </w:p>
    <w:p w:rsidR="00421F5C" w:rsidRPr="00560541" w:rsidRDefault="00421F5C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Здійснення систематизації цих актів необхідне для:</w:t>
      </w:r>
    </w:p>
    <w:p w:rsidR="00421F5C" w:rsidRPr="00560541" w:rsidRDefault="00421F5C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• усунення протиріч між нормативно-правовими актами, встановлення та усунення дефектів законодавства;</w:t>
      </w:r>
    </w:p>
    <w:p w:rsidR="00421F5C" w:rsidRPr="00560541" w:rsidRDefault="00421F5C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• підвищення якості та ефективності законодавства;</w:t>
      </w:r>
    </w:p>
    <w:p w:rsidR="00421F5C" w:rsidRPr="00560541" w:rsidRDefault="00421F5C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lastRenderedPageBreak/>
        <w:t>• забезпечення зручності користування законодавством, доступності його використання громадянами та іншими суб'єктами права;</w:t>
      </w:r>
    </w:p>
    <w:p w:rsidR="00421F5C" w:rsidRPr="00560541" w:rsidRDefault="00421F5C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• полегшення пошуку юридичної норми, яка підлягає реалізації;</w:t>
      </w:r>
    </w:p>
    <w:p w:rsidR="00421F5C" w:rsidRPr="00560541" w:rsidRDefault="00421F5C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• сприяння вивченню законодавства, а також його дослідженню.</w:t>
      </w:r>
    </w:p>
    <w:p w:rsidR="00926698" w:rsidRPr="00560541" w:rsidRDefault="00926698" w:rsidP="00346ABB">
      <w:pPr>
        <w:spacing w:after="120" w:line="240" w:lineRule="auto"/>
        <w:ind w:firstLine="567"/>
        <w:jc w:val="both"/>
        <w:rPr>
          <w:sz w:val="26"/>
          <w:szCs w:val="26"/>
        </w:rPr>
      </w:pPr>
      <w:r w:rsidRPr="00560541">
        <w:rPr>
          <w:sz w:val="26"/>
          <w:szCs w:val="26"/>
        </w:rPr>
        <w:t xml:space="preserve">Технічною передумовою систематизації є </w:t>
      </w:r>
      <w:r w:rsidRPr="00560541">
        <w:rPr>
          <w:sz w:val="26"/>
          <w:szCs w:val="26"/>
          <w:u w:val="single"/>
        </w:rPr>
        <w:t>облік</w:t>
      </w:r>
      <w:r w:rsidRPr="00560541">
        <w:rPr>
          <w:sz w:val="26"/>
          <w:szCs w:val="26"/>
        </w:rPr>
        <w:t xml:space="preserve"> нормативних актів, тобто письмове фіксування виданих нормативно-правових актів (у спеціальн</w:t>
      </w:r>
      <w:r w:rsidR="005965F3" w:rsidRPr="00560541">
        <w:rPr>
          <w:sz w:val="26"/>
          <w:szCs w:val="26"/>
        </w:rPr>
        <w:t>их журналах</w:t>
      </w:r>
      <w:r w:rsidRPr="00560541">
        <w:rPr>
          <w:sz w:val="26"/>
          <w:szCs w:val="26"/>
        </w:rPr>
        <w:t>, на картках, у комп'ютері).</w:t>
      </w:r>
    </w:p>
    <w:p w:rsidR="00047881" w:rsidRPr="00560541" w:rsidRDefault="00644210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b/>
          <w:bCs/>
          <w:sz w:val="26"/>
          <w:szCs w:val="26"/>
          <w:lang w:eastAsia="ru-RU"/>
        </w:rPr>
        <w:t>Облік</w:t>
      </w:r>
      <w:r w:rsidRPr="00560541">
        <w:rPr>
          <w:rFonts w:eastAsia="Times New Roman" w:cs="Times New Roman"/>
          <w:sz w:val="26"/>
          <w:szCs w:val="26"/>
          <w:lang w:eastAsia="ru-RU"/>
        </w:rPr>
        <w:t xml:space="preserve"> — діяльність щодо накопичення нормативно-правових актів, підтримання в контрольному стані, а також створення пошукової системи, яка забезпечує ефективний пошук необхідної правової інформації.</w:t>
      </w:r>
      <w:r w:rsidR="00047881" w:rsidRPr="0056054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Облік нормативно-правових актів</w:t>
      </w:r>
      <w:r w:rsidR="00047881" w:rsidRPr="00560541">
        <w:rPr>
          <w:rFonts w:eastAsia="Times New Roman" w:cs="Times New Roman"/>
          <w:sz w:val="26"/>
          <w:szCs w:val="26"/>
          <w:lang w:eastAsia="ru-RU"/>
        </w:rPr>
        <w:t xml:space="preserve"> може здійснюватися державними органами і недержавними організаціями як для внутрішнього, так і для зовнішнього користування. Основним завданням означеної форми систематизації є допомога в оперативному пошуку необхідної правової інформації.</w:t>
      </w:r>
    </w:p>
    <w:p w:rsidR="00CB5DAA" w:rsidRPr="00560541" w:rsidRDefault="00047881" w:rsidP="00346ABB">
      <w:pPr>
        <w:spacing w:after="12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60541">
        <w:rPr>
          <w:rFonts w:eastAsia="Times New Roman" w:cs="Times New Roman"/>
          <w:sz w:val="26"/>
          <w:szCs w:val="26"/>
          <w:lang w:eastAsia="ru-RU"/>
        </w:rPr>
        <w:t>Необхідність систематизації нормативно-правових актів обумовлена потребою забезпечення ефективного здійснення правотворчої і правозастосовної діяльності, зокрема встановлення й усунення дублювання, колізій і прогалин у чинних нормативно-правових актах, поліпшення інформаційного впливу права на правосвідомість його суб'єктів.</w:t>
      </w:r>
    </w:p>
    <w:p w:rsidR="00CA3A37" w:rsidRPr="00560541" w:rsidRDefault="00CC3221" w:rsidP="00BD2189">
      <w:pPr>
        <w:spacing w:after="0" w:line="240" w:lineRule="auto"/>
        <w:ind w:firstLine="567"/>
        <w:jc w:val="both"/>
        <w:rPr>
          <w:rFonts w:asciiTheme="majorHAnsi" w:eastAsia="Times New Roman" w:hAnsiTheme="majorHAnsi" w:cs="Courier New"/>
          <w:b/>
          <w:i/>
          <w:sz w:val="26"/>
          <w:szCs w:val="26"/>
          <w:lang w:eastAsia="ru-RU"/>
        </w:rPr>
      </w:pPr>
      <w:r w:rsidRPr="00560541">
        <w:rPr>
          <w:rFonts w:asciiTheme="majorHAnsi" w:eastAsia="Times New Roman" w:hAnsiTheme="majorHAnsi" w:cs="Courier New"/>
          <w:b/>
          <w:i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88900</wp:posOffset>
            </wp:positionV>
            <wp:extent cx="1327150" cy="1123950"/>
            <wp:effectExtent l="19050" t="0" r="6350" b="0"/>
            <wp:wrapTight wrapText="bothSides">
              <wp:wrapPolygon edited="0">
                <wp:start x="-310" y="0"/>
                <wp:lineTo x="-310" y="21234"/>
                <wp:lineTo x="21703" y="21234"/>
                <wp:lineTo x="21703" y="0"/>
                <wp:lineTo x="-310" y="0"/>
              </wp:wrapPolygon>
            </wp:wrapTight>
            <wp:docPr id="4" name="Рисунок 4" descr="C:\Documents and Settings\777\Рабочий стол\908px-Schlagwortkatalog_Dr.MarcusGoss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777\Рабочий стол\908px-Schlagwortkatalog_Dr.MarcusGossl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A37" w:rsidRPr="00560541">
        <w:rPr>
          <w:rFonts w:asciiTheme="majorHAnsi" w:eastAsia="Times New Roman" w:hAnsiTheme="majorHAnsi" w:cs="Courier New"/>
          <w:b/>
          <w:i/>
          <w:sz w:val="26"/>
          <w:szCs w:val="26"/>
          <w:lang w:eastAsia="ru-RU"/>
        </w:rPr>
        <w:t>Облік актів законодавства здійснюється шляхом ведення:</w:t>
      </w:r>
    </w:p>
    <w:p w:rsidR="00CA3A37" w:rsidRPr="00560541" w:rsidRDefault="00CA3A37" w:rsidP="00BD2189">
      <w:pPr>
        <w:spacing w:after="0" w:line="240" w:lineRule="auto"/>
        <w:ind w:firstLine="567"/>
        <w:jc w:val="both"/>
        <w:rPr>
          <w:rFonts w:eastAsia="Times New Roman" w:cs="Courier New"/>
          <w:b/>
          <w:i/>
          <w:sz w:val="26"/>
          <w:szCs w:val="26"/>
          <w:lang w:eastAsia="ru-RU"/>
        </w:rPr>
      </w:pPr>
      <w:bookmarkStart w:id="0" w:name="o160"/>
      <w:bookmarkEnd w:id="0"/>
      <w:r w:rsidRPr="00560541">
        <w:rPr>
          <w:rFonts w:eastAsia="Times New Roman" w:cs="Courier New"/>
          <w:b/>
          <w:i/>
          <w:sz w:val="26"/>
          <w:szCs w:val="26"/>
          <w:lang w:eastAsia="ru-RU"/>
        </w:rPr>
        <w:t>- систематичної</w:t>
      </w:r>
      <w:r w:rsidR="00BD2189" w:rsidRPr="00560541">
        <w:rPr>
          <w:rFonts w:eastAsia="Times New Roman" w:cs="Courier New"/>
          <w:b/>
          <w:i/>
          <w:sz w:val="26"/>
          <w:szCs w:val="26"/>
          <w:lang w:eastAsia="ru-RU"/>
        </w:rPr>
        <w:t xml:space="preserve"> картотеки актів законодавства</w:t>
      </w:r>
      <w:r w:rsidRPr="00560541">
        <w:rPr>
          <w:rFonts w:eastAsia="Times New Roman" w:cs="Courier New"/>
          <w:b/>
          <w:i/>
          <w:sz w:val="26"/>
          <w:szCs w:val="26"/>
          <w:lang w:eastAsia="ru-RU"/>
        </w:rPr>
        <w:t>;</w:t>
      </w:r>
    </w:p>
    <w:p w:rsidR="00CC3221" w:rsidRDefault="00FC6D78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1" w:name="o161"/>
      <w:bookmarkEnd w:id="1"/>
      <w:r>
        <w:rPr>
          <w:rFonts w:ascii="Courier New" w:eastAsia="Times New Roman" w:hAnsi="Courier New" w:cs="Courier New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133985</wp:posOffset>
            </wp:positionV>
            <wp:extent cx="2258060" cy="1323975"/>
            <wp:effectExtent l="19050" t="0" r="8890" b="0"/>
            <wp:wrapNone/>
            <wp:docPr id="3" name="Рисунок 3" descr="C:\Documents and Settings\777\Рабочий стол\30548_html_m4c4b7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777\Рабочий стол\30548_html_m4c4b72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A37" w:rsidRPr="00BD218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</w:t>
      </w: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3221" w:rsidRDefault="00CC3221" w:rsidP="00BD218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0255F" w:rsidRDefault="0020255F" w:rsidP="00BD2189">
      <w:pPr>
        <w:spacing w:after="0" w:line="240" w:lineRule="auto"/>
        <w:ind w:firstLine="567"/>
        <w:jc w:val="both"/>
        <w:rPr>
          <w:rFonts w:eastAsia="Times New Roman" w:cs="Courier New"/>
          <w:i/>
          <w:sz w:val="24"/>
          <w:szCs w:val="24"/>
          <w:lang w:eastAsia="ru-RU"/>
        </w:rPr>
      </w:pPr>
    </w:p>
    <w:p w:rsidR="00CA3A37" w:rsidRPr="0020255F" w:rsidRDefault="00CA3A37" w:rsidP="00BD2189">
      <w:pPr>
        <w:spacing w:after="0" w:line="240" w:lineRule="auto"/>
        <w:ind w:firstLine="567"/>
        <w:jc w:val="both"/>
        <w:rPr>
          <w:rFonts w:eastAsia="Times New Roman" w:cs="Times New Roman"/>
          <w:b/>
          <w:i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0255F">
        <w:rPr>
          <w:rFonts w:eastAsia="Times New Roman" w:cs="Courier New"/>
          <w:b/>
          <w:i/>
          <w:sz w:val="24"/>
          <w:szCs w:val="24"/>
          <w:lang w:eastAsia="ru-RU"/>
        </w:rPr>
        <w:t>- журналу обліку актів законодавства України</w:t>
      </w:r>
      <w:r w:rsidR="0020255F" w:rsidRPr="0020255F">
        <w:rPr>
          <w:rFonts w:eastAsia="Times New Roman" w:cs="Courier New"/>
          <w:b/>
          <w:i/>
          <w:sz w:val="24"/>
          <w:szCs w:val="24"/>
          <w:lang w:eastAsia="ru-RU"/>
        </w:rPr>
        <w:t>:</w:t>
      </w:r>
    </w:p>
    <w:p w:rsidR="00CC3221" w:rsidRDefault="00CC3221" w:rsidP="00BD2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tbl>
      <w:tblPr>
        <w:tblStyle w:val="a7"/>
        <w:tblW w:w="0" w:type="auto"/>
        <w:jc w:val="center"/>
        <w:tblLook w:val="04A0"/>
      </w:tblPr>
      <w:tblGrid>
        <w:gridCol w:w="595"/>
        <w:gridCol w:w="628"/>
        <w:gridCol w:w="1424"/>
        <w:gridCol w:w="594"/>
        <w:gridCol w:w="1075"/>
        <w:gridCol w:w="726"/>
        <w:gridCol w:w="616"/>
        <w:gridCol w:w="547"/>
        <w:gridCol w:w="522"/>
        <w:gridCol w:w="433"/>
        <w:gridCol w:w="455"/>
        <w:gridCol w:w="1045"/>
      </w:tblGrid>
      <w:tr w:rsidR="00CC3221" w:rsidRPr="00CC3221" w:rsidTr="00CC3221">
        <w:trPr>
          <w:trHeight w:val="510"/>
          <w:jc w:val="center"/>
        </w:trPr>
        <w:tc>
          <w:tcPr>
            <w:tcW w:w="595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BF04F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№ акта</w:t>
            </w:r>
          </w:p>
        </w:tc>
        <w:tc>
          <w:tcPr>
            <w:tcW w:w="628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Дата акта</w:t>
            </w:r>
          </w:p>
        </w:tc>
        <w:tc>
          <w:tcPr>
            <w:tcW w:w="1424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Дата надходження акта</w:t>
            </w:r>
          </w:p>
        </w:tc>
        <w:tc>
          <w:tcPr>
            <w:tcW w:w="594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Вид акта</w:t>
            </w:r>
          </w:p>
        </w:tc>
        <w:tc>
          <w:tcPr>
            <w:tcW w:w="1075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Видавник акта</w:t>
            </w:r>
          </w:p>
        </w:tc>
        <w:tc>
          <w:tcPr>
            <w:tcW w:w="726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Назва акта</w:t>
            </w:r>
          </w:p>
        </w:tc>
        <w:tc>
          <w:tcPr>
            <w:tcW w:w="2573" w:type="dxa"/>
            <w:gridSpan w:val="5"/>
            <w:tcBorders>
              <w:bottom w:val="single" w:sz="4" w:space="0" w:color="auto"/>
            </w:tcBorders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Джерело опублікування</w:t>
            </w:r>
          </w:p>
        </w:tc>
        <w:tc>
          <w:tcPr>
            <w:tcW w:w="1045" w:type="dxa"/>
            <w:vMerge w:val="restart"/>
          </w:tcPr>
          <w:p w:rsidR="00CC3221" w:rsidRPr="00CC3221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  <w:r w:rsidRPr="00CC3221"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  <w:t>Примітки</w:t>
            </w:r>
          </w:p>
        </w:tc>
      </w:tr>
      <w:tr w:rsidR="00CC3221" w:rsidRPr="00CC3221" w:rsidTr="00CC3221">
        <w:trPr>
          <w:trHeight w:val="180"/>
          <w:jc w:val="center"/>
        </w:trPr>
        <w:tc>
          <w:tcPr>
            <w:tcW w:w="595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CC3221" w:rsidRPr="0020255F" w:rsidRDefault="00CC3221" w:rsidP="00CC3221">
            <w:pPr>
              <w:jc w:val="center"/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  <w:t>ОВУ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:rsidR="00CC3221" w:rsidRPr="0020255F" w:rsidRDefault="00CC3221" w:rsidP="00842BE2">
            <w:pPr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  <w:t>ВВР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</w:tcPr>
          <w:p w:rsidR="00CC3221" w:rsidRPr="0020255F" w:rsidRDefault="00CC3221" w:rsidP="00842BE2">
            <w:pPr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  <w:t>УК</w:t>
            </w: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CC3221" w:rsidRPr="0020255F" w:rsidRDefault="00CC3221" w:rsidP="00842BE2">
            <w:pPr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  <w:t>ГУ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:rsidR="00CC3221" w:rsidRPr="0020255F" w:rsidRDefault="00CC3221" w:rsidP="00CC3221">
            <w:pPr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0255F">
              <w:rPr>
                <w:rFonts w:eastAsia="Times New Roman" w:cs="Courier New"/>
                <w:b/>
                <w:bCs/>
                <w:sz w:val="18"/>
                <w:szCs w:val="18"/>
                <w:lang w:eastAsia="ru-RU"/>
              </w:rPr>
              <w:t>ПВ</w:t>
            </w:r>
            <w:proofErr w:type="spellEnd"/>
          </w:p>
        </w:tc>
        <w:tc>
          <w:tcPr>
            <w:tcW w:w="1045" w:type="dxa"/>
            <w:vMerge/>
          </w:tcPr>
          <w:p w:rsidR="00CC3221" w:rsidRPr="00CC3221" w:rsidRDefault="00CC3221" w:rsidP="00CC3221">
            <w:pPr>
              <w:rPr>
                <w:rFonts w:eastAsia="Times New Roman" w:cs="Courier New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C6D78" w:rsidRDefault="00CC3221" w:rsidP="00FC6D7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F04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  <w:bookmarkStart w:id="2" w:name="o302"/>
      <w:bookmarkStart w:id="3" w:name="o162"/>
      <w:bookmarkEnd w:id="2"/>
      <w:bookmarkEnd w:id="3"/>
    </w:p>
    <w:p w:rsidR="00CC3221" w:rsidRPr="00FC6D78" w:rsidRDefault="00CA3A37" w:rsidP="00FC6D78">
      <w:pPr>
        <w:spacing w:after="0"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0255F">
        <w:rPr>
          <w:rFonts w:eastAsia="Times New Roman" w:cs="Courier New"/>
          <w:b/>
          <w:i/>
          <w:sz w:val="24"/>
          <w:szCs w:val="24"/>
          <w:lang w:eastAsia="ru-RU"/>
        </w:rPr>
        <w:t xml:space="preserve"> - журналу обліку м</w:t>
      </w:r>
      <w:r w:rsidR="00BD2189" w:rsidRPr="0020255F">
        <w:rPr>
          <w:rFonts w:eastAsia="Times New Roman" w:cs="Courier New"/>
          <w:b/>
          <w:i/>
          <w:sz w:val="24"/>
          <w:szCs w:val="24"/>
          <w:lang w:eastAsia="ru-RU"/>
        </w:rPr>
        <w:t>іжнародних договорів</w:t>
      </w:r>
      <w:bookmarkStart w:id="4" w:name="o163"/>
      <w:bookmarkEnd w:id="4"/>
      <w:r w:rsidR="0020255F" w:rsidRPr="0020255F">
        <w:rPr>
          <w:rFonts w:eastAsia="Times New Roman" w:cs="Courier New"/>
          <w:b/>
          <w:i/>
          <w:sz w:val="24"/>
          <w:szCs w:val="24"/>
          <w:lang w:eastAsia="ru-RU"/>
        </w:rPr>
        <w:t>:</w:t>
      </w:r>
    </w:p>
    <w:p w:rsidR="00CC3221" w:rsidRDefault="00CC3221" w:rsidP="00CC322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CC3221" w:rsidRPr="00BF04F4" w:rsidRDefault="00CC3221" w:rsidP="00CC3221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7"/>
        <w:tblW w:w="10219" w:type="dxa"/>
        <w:tblLayout w:type="fixed"/>
        <w:tblLook w:val="04A0"/>
      </w:tblPr>
      <w:tblGrid>
        <w:gridCol w:w="424"/>
        <w:gridCol w:w="1102"/>
        <w:gridCol w:w="687"/>
        <w:gridCol w:w="851"/>
        <w:gridCol w:w="850"/>
        <w:gridCol w:w="979"/>
        <w:gridCol w:w="1081"/>
        <w:gridCol w:w="989"/>
        <w:gridCol w:w="910"/>
        <w:gridCol w:w="771"/>
        <w:gridCol w:w="678"/>
        <w:gridCol w:w="897"/>
      </w:tblGrid>
      <w:tr w:rsidR="0020255F" w:rsidTr="0020255F">
        <w:trPr>
          <w:trHeight w:val="420"/>
        </w:trPr>
        <w:tc>
          <w:tcPr>
            <w:tcW w:w="424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1102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Дата отримання</w:t>
            </w:r>
          </w:p>
        </w:tc>
        <w:tc>
          <w:tcPr>
            <w:tcW w:w="687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Країна</w:t>
            </w:r>
          </w:p>
        </w:tc>
        <w:tc>
          <w:tcPr>
            <w:tcW w:w="851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Вид договору</w:t>
            </w:r>
          </w:p>
        </w:tc>
        <w:tc>
          <w:tcPr>
            <w:tcW w:w="850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Назва договору</w:t>
            </w:r>
          </w:p>
        </w:tc>
        <w:tc>
          <w:tcPr>
            <w:tcW w:w="4730" w:type="dxa"/>
            <w:gridSpan w:val="5"/>
            <w:tcBorders>
              <w:bottom w:val="single" w:sz="4" w:space="0" w:color="auto"/>
            </w:tcBorders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20"/>
                <w:szCs w:val="20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78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Термін дії</w:t>
            </w:r>
          </w:p>
        </w:tc>
        <w:tc>
          <w:tcPr>
            <w:tcW w:w="897" w:type="dxa"/>
            <w:vMerge w:val="restart"/>
          </w:tcPr>
          <w:p w:rsidR="0020255F" w:rsidRPr="0020255F" w:rsidRDefault="0020255F" w:rsidP="0020255F">
            <w:pPr>
              <w:ind w:left="-57" w:right="-57"/>
              <w:jc w:val="center"/>
              <w:rPr>
                <w:rFonts w:eastAsia="Times New Roman" w:cs="Courier New"/>
                <w:b/>
                <w:sz w:val="18"/>
                <w:szCs w:val="18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8"/>
                <w:szCs w:val="18"/>
                <w:lang w:eastAsia="ru-RU"/>
              </w:rPr>
              <w:t>Примітки</w:t>
            </w:r>
          </w:p>
        </w:tc>
      </w:tr>
      <w:tr w:rsidR="0020255F" w:rsidTr="0020255F">
        <w:trPr>
          <w:trHeight w:val="1745"/>
        </w:trPr>
        <w:tc>
          <w:tcPr>
            <w:tcW w:w="424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255F" w:rsidRPr="0020255F" w:rsidRDefault="0020255F" w:rsidP="0020255F">
            <w:pPr>
              <w:ind w:left="-113" w:right="-113"/>
              <w:jc w:val="center"/>
              <w:rPr>
                <w:rFonts w:eastAsia="Times New Roman" w:cs="Courier New"/>
                <w:b/>
                <w:sz w:val="16"/>
                <w:szCs w:val="16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6"/>
                <w:szCs w:val="16"/>
                <w:lang w:eastAsia="ru-RU"/>
              </w:rPr>
              <w:t>підписання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255F" w:rsidRPr="0020255F" w:rsidRDefault="0020255F" w:rsidP="0020255F">
            <w:pPr>
              <w:ind w:left="-113" w:right="-113"/>
              <w:jc w:val="center"/>
              <w:rPr>
                <w:rFonts w:eastAsia="Times New Roman" w:cs="Courier New"/>
                <w:b/>
                <w:sz w:val="16"/>
                <w:szCs w:val="16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6"/>
                <w:szCs w:val="16"/>
                <w:lang w:eastAsia="ru-RU"/>
              </w:rPr>
              <w:t>ратифікації,</w:t>
            </w:r>
          </w:p>
          <w:p w:rsidR="0020255F" w:rsidRPr="0020255F" w:rsidRDefault="0020255F" w:rsidP="0020255F">
            <w:pPr>
              <w:ind w:left="-113" w:right="-113"/>
              <w:jc w:val="center"/>
              <w:rPr>
                <w:rFonts w:eastAsia="Times New Roman" w:cs="Courier New"/>
                <w:b/>
                <w:sz w:val="16"/>
                <w:szCs w:val="16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6"/>
                <w:szCs w:val="16"/>
                <w:lang w:eastAsia="ru-RU"/>
              </w:rPr>
              <w:t>затвердження, приєднання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255F" w:rsidRPr="0020255F" w:rsidRDefault="0020255F" w:rsidP="0020255F">
            <w:pPr>
              <w:ind w:left="-113" w:right="-113"/>
              <w:jc w:val="center"/>
              <w:rPr>
                <w:rFonts w:eastAsia="Times New Roman" w:cs="Courier New"/>
                <w:b/>
                <w:sz w:val="16"/>
                <w:szCs w:val="16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6"/>
                <w:szCs w:val="16"/>
                <w:lang w:eastAsia="ru-RU"/>
              </w:rPr>
              <w:t>набрання чинності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255F" w:rsidRPr="0020255F" w:rsidRDefault="0020255F" w:rsidP="0020255F">
            <w:pPr>
              <w:ind w:left="-113" w:right="-113"/>
              <w:jc w:val="center"/>
              <w:rPr>
                <w:rFonts w:eastAsia="Times New Roman" w:cs="Courier New"/>
                <w:b/>
                <w:sz w:val="16"/>
                <w:szCs w:val="16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6"/>
                <w:szCs w:val="16"/>
                <w:lang w:eastAsia="ru-RU"/>
              </w:rPr>
              <w:t>денонсації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20255F" w:rsidRPr="0020255F" w:rsidRDefault="0020255F" w:rsidP="0020255F">
            <w:pPr>
              <w:ind w:left="-113" w:right="-113"/>
              <w:jc w:val="center"/>
              <w:rPr>
                <w:rFonts w:eastAsia="Times New Roman" w:cs="Courier New"/>
                <w:b/>
                <w:sz w:val="16"/>
                <w:szCs w:val="16"/>
                <w:lang w:eastAsia="ru-RU"/>
              </w:rPr>
            </w:pPr>
            <w:r w:rsidRPr="0020255F">
              <w:rPr>
                <w:rFonts w:eastAsia="Times New Roman" w:cs="Courier New"/>
                <w:b/>
                <w:sz w:val="16"/>
                <w:szCs w:val="16"/>
                <w:lang w:eastAsia="ru-RU"/>
              </w:rPr>
              <w:t>втрати чинності</w:t>
            </w:r>
          </w:p>
        </w:tc>
        <w:tc>
          <w:tcPr>
            <w:tcW w:w="678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000000" w:themeColor="text1"/>
            </w:tcBorders>
          </w:tcPr>
          <w:p w:rsidR="0020255F" w:rsidRDefault="0020255F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20255F" w:rsidTr="0020255F">
        <w:tc>
          <w:tcPr>
            <w:tcW w:w="424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CC3221" w:rsidRDefault="00CC3221" w:rsidP="00CC3221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CC3221" w:rsidRPr="00CC3221" w:rsidRDefault="00CC3221" w:rsidP="00CC3221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" w:name="o320"/>
      <w:bookmarkEnd w:id="5"/>
    </w:p>
    <w:p w:rsidR="00CA3A37" w:rsidRPr="00560541" w:rsidRDefault="00CA3A37" w:rsidP="00CC3221">
      <w:pPr>
        <w:spacing w:after="0" w:line="240" w:lineRule="auto"/>
        <w:jc w:val="both"/>
        <w:rPr>
          <w:rFonts w:eastAsia="Times New Roman" w:cs="Courier New"/>
          <w:b/>
          <w:i/>
          <w:sz w:val="26"/>
          <w:szCs w:val="26"/>
          <w:lang w:eastAsia="ru-RU"/>
        </w:rPr>
      </w:pPr>
      <w:bookmarkStart w:id="6" w:name="o321"/>
      <w:bookmarkEnd w:id="6"/>
      <w:r w:rsidRPr="00560541">
        <w:rPr>
          <w:rFonts w:eastAsia="Times New Roman" w:cs="Courier New"/>
          <w:b/>
          <w:i/>
          <w:sz w:val="26"/>
          <w:szCs w:val="26"/>
          <w:lang w:eastAsia="ru-RU"/>
        </w:rPr>
        <w:lastRenderedPageBreak/>
        <w:t>- контрольних примірників актів законодавства України.</w:t>
      </w:r>
      <w:r w:rsidR="00BD2189" w:rsidRPr="00560541">
        <w:rPr>
          <w:rFonts w:eastAsia="Times New Roman" w:cs="Times New Roman"/>
          <w:b/>
          <w:i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FC6D78" w:rsidRPr="00560541" w:rsidRDefault="00FC6D78" w:rsidP="0081646C">
      <w:pPr>
        <w:spacing w:after="0" w:line="240" w:lineRule="auto"/>
        <w:ind w:firstLine="708"/>
        <w:jc w:val="both"/>
        <w:rPr>
          <w:rFonts w:eastAsia="Times New Roman" w:cs="Courier New"/>
          <w:b/>
          <w:i/>
          <w:sz w:val="26"/>
          <w:szCs w:val="26"/>
          <w:lang w:eastAsia="ru-RU"/>
        </w:rPr>
      </w:pPr>
    </w:p>
    <w:p w:rsidR="0081646C" w:rsidRPr="00560541" w:rsidRDefault="0081646C" w:rsidP="0081646C">
      <w:pPr>
        <w:spacing w:after="0" w:line="240" w:lineRule="auto"/>
        <w:ind w:firstLine="708"/>
        <w:jc w:val="both"/>
        <w:rPr>
          <w:rFonts w:eastAsia="Times New Roman" w:cs="Courier New"/>
          <w:sz w:val="26"/>
          <w:szCs w:val="26"/>
          <w:lang w:eastAsia="ru-RU"/>
        </w:rPr>
      </w:pPr>
      <w:r w:rsidRPr="00560541">
        <w:rPr>
          <w:rFonts w:eastAsia="Times New Roman" w:cs="Courier New"/>
          <w:b/>
          <w:i/>
          <w:sz w:val="26"/>
          <w:szCs w:val="26"/>
          <w:lang w:eastAsia="ru-RU"/>
        </w:rPr>
        <w:t>Контрольним    примірником    акта   законодавства</w:t>
      </w:r>
      <w:r w:rsidRPr="00560541">
        <w:rPr>
          <w:rFonts w:eastAsia="Times New Roman" w:cs="Courier New"/>
          <w:sz w:val="26"/>
          <w:szCs w:val="26"/>
          <w:lang w:eastAsia="ru-RU"/>
        </w:rPr>
        <w:t xml:space="preserve">   є примірник,  у  якому  проставляються  відмітки  про   всі   зміни, доповнення,  зупинення дії,  поширення, продовження або збереження дії та про  визнання  акта  (статті,  пункту)  таким,  що  втратив чинність,  та  зазначається  інформація  про  вид,  номер  і  дату прийняття,  офіційне  джерело  опублікування  акта,  яким  унесені зміни.</w:t>
      </w:r>
    </w:p>
    <w:p w:rsidR="0081646C" w:rsidRPr="00560541" w:rsidRDefault="0081646C" w:rsidP="0081646C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bookmarkStart w:id="7" w:name="o189"/>
      <w:bookmarkStart w:id="8" w:name="o190"/>
      <w:bookmarkEnd w:id="7"/>
      <w:bookmarkEnd w:id="8"/>
      <w:r w:rsidRPr="00560541">
        <w:rPr>
          <w:rFonts w:eastAsia="Times New Roman" w:cs="Courier New"/>
          <w:sz w:val="26"/>
          <w:szCs w:val="26"/>
          <w:lang w:eastAsia="ru-RU"/>
        </w:rPr>
        <w:t xml:space="preserve">     Підтримання актів  законодавства України у контрольному стані передбачає внесення до тексту акта змін і  доповнень  на  підставі актів законодавства, якими ці зміни вносяться.</w:t>
      </w:r>
    </w:p>
    <w:p w:rsidR="0081646C" w:rsidRPr="00560541" w:rsidRDefault="0081646C" w:rsidP="0081646C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bookmarkStart w:id="9" w:name="o191"/>
      <w:bookmarkEnd w:id="9"/>
      <w:r w:rsidRPr="00560541">
        <w:rPr>
          <w:rFonts w:eastAsia="Times New Roman" w:cs="Courier New"/>
          <w:sz w:val="26"/>
          <w:szCs w:val="26"/>
          <w:lang w:eastAsia="ru-RU"/>
        </w:rPr>
        <w:t xml:space="preserve">     Технологія підтримання   актів   законодавства   України    в контрольному   стані   на  паперових  носіях  здійснюється  шляхом зазначення  відомостей  про  внесені  зміни,  доповнення  та  іншу інформацію безпосередньо в тексті акта законодавства.</w:t>
      </w:r>
    </w:p>
    <w:p w:rsidR="001B501F" w:rsidRPr="00560541" w:rsidRDefault="001B501F" w:rsidP="001B501F">
      <w:pPr>
        <w:spacing w:after="0" w:line="240" w:lineRule="auto"/>
        <w:rPr>
          <w:rFonts w:eastAsia="Times New Roman" w:cs="Courier New"/>
          <w:sz w:val="26"/>
          <w:szCs w:val="26"/>
          <w:lang w:eastAsia="ru-RU"/>
        </w:rPr>
      </w:pPr>
    </w:p>
    <w:p w:rsidR="001B501F" w:rsidRPr="00560541" w:rsidRDefault="001B501F" w:rsidP="006D6A1E">
      <w:pPr>
        <w:spacing w:after="0" w:line="240" w:lineRule="auto"/>
        <w:ind w:firstLine="708"/>
        <w:jc w:val="both"/>
        <w:rPr>
          <w:rFonts w:eastAsia="Times New Roman" w:cs="Courier New"/>
          <w:sz w:val="26"/>
          <w:szCs w:val="26"/>
          <w:lang w:eastAsia="ru-RU"/>
        </w:rPr>
      </w:pPr>
      <w:r w:rsidRPr="00560541">
        <w:rPr>
          <w:rFonts w:eastAsia="Times New Roman" w:cs="Courier New"/>
          <w:sz w:val="26"/>
          <w:szCs w:val="26"/>
          <w:lang w:eastAsia="ru-RU"/>
        </w:rPr>
        <w:t xml:space="preserve">З метою належної організації роботи по підтриманню актів законодавства в контрольному стані Міністерство  юстиції  України здійснює видання офіційних </w:t>
      </w:r>
      <w:r w:rsidR="006D6A1E" w:rsidRPr="00560541">
        <w:rPr>
          <w:rFonts w:eastAsia="Times New Roman" w:cs="Courier New"/>
          <w:sz w:val="26"/>
          <w:szCs w:val="26"/>
          <w:lang w:eastAsia="ru-RU"/>
        </w:rPr>
        <w:t>д</w:t>
      </w:r>
      <w:r w:rsidRPr="00560541">
        <w:rPr>
          <w:rFonts w:eastAsia="Times New Roman" w:cs="Courier New"/>
          <w:sz w:val="26"/>
          <w:szCs w:val="26"/>
          <w:lang w:eastAsia="ru-RU"/>
        </w:rPr>
        <w:t xml:space="preserve">рукованих видань у теках з </w:t>
      </w:r>
      <w:r w:rsidR="006D6A1E" w:rsidRPr="00560541">
        <w:rPr>
          <w:rFonts w:eastAsia="Times New Roman" w:cs="Courier New"/>
          <w:sz w:val="26"/>
          <w:szCs w:val="26"/>
          <w:lang w:eastAsia="ru-RU"/>
        </w:rPr>
        <w:t>роз'ємними  замками</w:t>
      </w:r>
      <w:r w:rsidRPr="00560541">
        <w:rPr>
          <w:rFonts w:eastAsia="Times New Roman" w:cs="Courier New"/>
          <w:sz w:val="26"/>
          <w:szCs w:val="26"/>
          <w:lang w:eastAsia="ru-RU"/>
        </w:rPr>
        <w:t>:</w:t>
      </w:r>
    </w:p>
    <w:p w:rsidR="001B501F" w:rsidRPr="00560541" w:rsidRDefault="001B501F" w:rsidP="006D6A1E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bookmarkStart w:id="10" w:name="o264"/>
      <w:bookmarkEnd w:id="10"/>
      <w:r w:rsidRPr="00560541">
        <w:rPr>
          <w:rFonts w:eastAsia="Times New Roman" w:cs="Courier New"/>
          <w:sz w:val="26"/>
          <w:szCs w:val="26"/>
          <w:lang w:eastAsia="ru-RU"/>
        </w:rPr>
        <w:t xml:space="preserve">     - "Систематичного  зібрання  чинного  законодавства  України" (публікуються акти законодавства за галузевим принципом);</w:t>
      </w:r>
      <w:bookmarkStart w:id="11" w:name="o265"/>
      <w:bookmarkEnd w:id="11"/>
    </w:p>
    <w:p w:rsidR="001B501F" w:rsidRPr="00560541" w:rsidRDefault="001B501F" w:rsidP="006D6A1E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r w:rsidRPr="00560541">
        <w:rPr>
          <w:rFonts w:eastAsia="Times New Roman" w:cs="Courier New"/>
          <w:sz w:val="26"/>
          <w:szCs w:val="26"/>
          <w:lang w:eastAsia="ru-RU"/>
        </w:rPr>
        <w:t xml:space="preserve">     - бюлетеня    "Офіційний    вісник   України.   Із   змінами" (публікуються поточні акти законодавства);</w:t>
      </w:r>
    </w:p>
    <w:p w:rsidR="001B501F" w:rsidRPr="00560541" w:rsidRDefault="001B501F" w:rsidP="001B501F">
      <w:pPr>
        <w:spacing w:after="0" w:line="240" w:lineRule="auto"/>
        <w:rPr>
          <w:rFonts w:eastAsia="Times New Roman" w:cs="Courier New"/>
          <w:sz w:val="26"/>
          <w:szCs w:val="26"/>
          <w:lang w:eastAsia="ru-RU"/>
        </w:rPr>
      </w:pPr>
      <w:bookmarkStart w:id="12" w:name="o266"/>
      <w:bookmarkEnd w:id="12"/>
      <w:r w:rsidRPr="00560541">
        <w:rPr>
          <w:rFonts w:eastAsia="Times New Roman" w:cs="Courier New"/>
          <w:sz w:val="26"/>
          <w:szCs w:val="26"/>
          <w:lang w:eastAsia="ru-RU"/>
        </w:rPr>
        <w:t xml:space="preserve">     - "Кодексів України".</w:t>
      </w:r>
    </w:p>
    <w:p w:rsidR="001B501F" w:rsidRPr="00560541" w:rsidRDefault="001B501F" w:rsidP="006D6A1E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bookmarkStart w:id="13" w:name="o267"/>
      <w:bookmarkEnd w:id="13"/>
      <w:r w:rsidRPr="00560541">
        <w:rPr>
          <w:rFonts w:eastAsia="Times New Roman" w:cs="Courier New"/>
          <w:sz w:val="26"/>
          <w:szCs w:val="26"/>
          <w:lang w:eastAsia="ru-RU"/>
        </w:rPr>
        <w:t xml:space="preserve">     Офіційне багатотомне  видання  "Систематичне  зібрання чинного     законодавства     України"    забезпечує    здійснення систематизації законодавства за  галузевим  принципом.  У  виданні публікуються   чинні   акти  Верховної  Ради  України,  Президента України, Кабінету Міністрів України, Конституційного Суду України, а   також   Національного   банку   України,   міністерств,  інших центральних органів виконавчої влади України,  що зареєстровані  в Міністерстві юстиції України, міжнародні договори України.</w:t>
      </w:r>
    </w:p>
    <w:p w:rsidR="001B501F" w:rsidRPr="00560541" w:rsidRDefault="001B501F" w:rsidP="006D6A1E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bookmarkStart w:id="14" w:name="o268"/>
      <w:bookmarkEnd w:id="14"/>
      <w:r w:rsidRPr="00560541">
        <w:rPr>
          <w:rFonts w:eastAsia="Times New Roman" w:cs="Courier New"/>
          <w:sz w:val="26"/>
          <w:szCs w:val="26"/>
          <w:lang w:eastAsia="ru-RU"/>
        </w:rPr>
        <w:t xml:space="preserve">     Акти законодавства,   що   публікуються   в   "Систематичному зібранні   чинного   законодавства   України",   підтримуються   у контрольному стані шляхом видання в теках з роз'ємними  замками  з можливістю заміни аркушів.</w:t>
      </w:r>
    </w:p>
    <w:p w:rsidR="001B501F" w:rsidRPr="00560541" w:rsidRDefault="001B501F" w:rsidP="006D6A1E">
      <w:pPr>
        <w:spacing w:after="0" w:line="240" w:lineRule="auto"/>
        <w:jc w:val="both"/>
        <w:rPr>
          <w:rFonts w:eastAsia="Times New Roman" w:cs="Courier New"/>
          <w:sz w:val="26"/>
          <w:szCs w:val="26"/>
          <w:lang w:eastAsia="ru-RU"/>
        </w:rPr>
      </w:pPr>
      <w:bookmarkStart w:id="15" w:name="o269"/>
      <w:bookmarkEnd w:id="15"/>
      <w:r w:rsidRPr="00560541">
        <w:rPr>
          <w:rFonts w:eastAsia="Times New Roman" w:cs="Courier New"/>
          <w:sz w:val="26"/>
          <w:szCs w:val="26"/>
          <w:lang w:eastAsia="ru-RU"/>
        </w:rPr>
        <w:t xml:space="preserve">     В "Офіційному віснику України.  Із змінами" в теках  з роз'ємними  замками  в хронологічному порядку публікуються поточні акти законодавства України з підтриманням їх у контрольному стані.</w:t>
      </w:r>
    </w:p>
    <w:p w:rsidR="00CA3A37" w:rsidRPr="00560541" w:rsidRDefault="001B501F" w:rsidP="001B501F">
      <w:pPr>
        <w:spacing w:after="120" w:line="240" w:lineRule="auto"/>
        <w:ind w:firstLine="567"/>
        <w:jc w:val="both"/>
        <w:rPr>
          <w:rFonts w:eastAsia="Times New Roman" w:cs="Courier New"/>
          <w:sz w:val="26"/>
          <w:szCs w:val="26"/>
          <w:lang w:eastAsia="ru-RU"/>
        </w:rPr>
      </w:pPr>
      <w:bookmarkStart w:id="16" w:name="o270"/>
      <w:bookmarkEnd w:id="16"/>
      <w:r w:rsidRPr="00560541">
        <w:rPr>
          <w:rFonts w:eastAsia="Times New Roman" w:cs="Courier New"/>
          <w:sz w:val="26"/>
          <w:szCs w:val="26"/>
          <w:lang w:eastAsia="ru-RU"/>
        </w:rPr>
        <w:t xml:space="preserve">     Офіційне  видання  серії  "Кодекси України" (у теках з роз'ємними замками) дає  змогу  мати  тексти  кодексів  України  в контрольному стані.</w:t>
      </w:r>
    </w:p>
    <w:p w:rsidR="00FC6D78" w:rsidRPr="00560541" w:rsidRDefault="00FC6D78" w:rsidP="001B501F">
      <w:pPr>
        <w:spacing w:after="120" w:line="240" w:lineRule="auto"/>
        <w:ind w:firstLine="567"/>
        <w:jc w:val="both"/>
        <w:rPr>
          <w:rFonts w:eastAsia="Times New Roman" w:cs="Courier New"/>
          <w:sz w:val="26"/>
          <w:szCs w:val="26"/>
          <w:lang w:eastAsia="ru-RU"/>
        </w:rPr>
      </w:pPr>
    </w:p>
    <w:p w:rsidR="001811FB" w:rsidRPr="00560541" w:rsidRDefault="001811FB" w:rsidP="001B501F">
      <w:pPr>
        <w:spacing w:after="120" w:line="240" w:lineRule="auto"/>
        <w:ind w:firstLine="567"/>
        <w:jc w:val="both"/>
        <w:rPr>
          <w:sz w:val="26"/>
          <w:szCs w:val="26"/>
        </w:rPr>
      </w:pPr>
      <w:r w:rsidRPr="00560541">
        <w:rPr>
          <w:rFonts w:eastAsia="Times New Roman" w:cs="Courier New"/>
          <w:sz w:val="26"/>
          <w:szCs w:val="26"/>
          <w:lang w:eastAsia="ru-RU"/>
        </w:rPr>
        <w:t xml:space="preserve">Ведення обліку і систематизації актів законодавства є важливим напрямком роботи юридичної служби, спрямований на  забезпечення  її точною  і  повною  інформацією  про  чинне  законодавство України, надання  допомоги  працівникам  органів  та  установ   юстиції   в оперативному пошуку законодавчих актів. </w:t>
      </w:r>
    </w:p>
    <w:sectPr w:rsidR="001811FB" w:rsidRPr="00560541" w:rsidSect="00FC6D78">
      <w:pgSz w:w="11906" w:h="16838"/>
      <w:pgMar w:top="851" w:right="907" w:bottom="851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31C8"/>
    <w:rsid w:val="00047881"/>
    <w:rsid w:val="000B3216"/>
    <w:rsid w:val="000E4E16"/>
    <w:rsid w:val="001811FB"/>
    <w:rsid w:val="001B501F"/>
    <w:rsid w:val="001F420F"/>
    <w:rsid w:val="0020255F"/>
    <w:rsid w:val="00225B60"/>
    <w:rsid w:val="002C3DC5"/>
    <w:rsid w:val="002F3F6B"/>
    <w:rsid w:val="00346ABB"/>
    <w:rsid w:val="00380B5C"/>
    <w:rsid w:val="003C4F02"/>
    <w:rsid w:val="00421F5C"/>
    <w:rsid w:val="005041B8"/>
    <w:rsid w:val="00522664"/>
    <w:rsid w:val="00560541"/>
    <w:rsid w:val="00585D62"/>
    <w:rsid w:val="005965F3"/>
    <w:rsid w:val="005E09AE"/>
    <w:rsid w:val="005F3D2E"/>
    <w:rsid w:val="005F582A"/>
    <w:rsid w:val="00644210"/>
    <w:rsid w:val="00647667"/>
    <w:rsid w:val="0065777A"/>
    <w:rsid w:val="006D6A1E"/>
    <w:rsid w:val="00712CCD"/>
    <w:rsid w:val="00764794"/>
    <w:rsid w:val="0081646C"/>
    <w:rsid w:val="0082383F"/>
    <w:rsid w:val="008C31D8"/>
    <w:rsid w:val="00926698"/>
    <w:rsid w:val="009A3378"/>
    <w:rsid w:val="009E325B"/>
    <w:rsid w:val="00B631C8"/>
    <w:rsid w:val="00BD2189"/>
    <w:rsid w:val="00C1633E"/>
    <w:rsid w:val="00CA3A37"/>
    <w:rsid w:val="00CB5DAA"/>
    <w:rsid w:val="00CC3221"/>
    <w:rsid w:val="00CE4181"/>
    <w:rsid w:val="00CE6545"/>
    <w:rsid w:val="00DE09D3"/>
    <w:rsid w:val="00DF3441"/>
    <w:rsid w:val="00E01EBB"/>
    <w:rsid w:val="00E60949"/>
    <w:rsid w:val="00E71B6B"/>
    <w:rsid w:val="00ED640D"/>
    <w:rsid w:val="00F52099"/>
    <w:rsid w:val="00F52BF9"/>
    <w:rsid w:val="00F708A1"/>
    <w:rsid w:val="00FC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C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65777A"/>
  </w:style>
  <w:style w:type="paragraph" w:customStyle="1" w:styleId="rvps6">
    <w:name w:val="rvps6"/>
    <w:basedOn w:val="a"/>
    <w:rsid w:val="0065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65777A"/>
  </w:style>
  <w:style w:type="character" w:styleId="a3">
    <w:name w:val="Strong"/>
    <w:basedOn w:val="a0"/>
    <w:uiPriority w:val="22"/>
    <w:qFormat/>
    <w:rsid w:val="002C3DC5"/>
    <w:rPr>
      <w:b/>
      <w:bCs/>
    </w:rPr>
  </w:style>
  <w:style w:type="paragraph" w:styleId="a4">
    <w:name w:val="Normal (Web)"/>
    <w:basedOn w:val="a"/>
    <w:uiPriority w:val="99"/>
    <w:semiHidden/>
    <w:unhideWhenUsed/>
    <w:rsid w:val="00E6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189"/>
    <w:rPr>
      <w:rFonts w:ascii="Tahoma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CC3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5965F3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5965F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CBA48D614B4CBAAA6AC17B76646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A38E3D-417C-4E0D-A727-82454DBFFBCE}"/>
      </w:docPartPr>
      <w:docPartBody>
        <w:p w:rsidR="006665DD" w:rsidRDefault="00CA60EE" w:rsidP="00CA60EE">
          <w:pPr>
            <w:pStyle w:val="F0CBA48D614B4CBAAA6AC17B7664672C"/>
          </w:pPr>
          <w:r>
            <w:rPr>
              <w:color w:val="7F7F7F" w:themeColor="text1" w:themeTint="80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8ADC391A38584CEC995D1EF99992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02D7D-A601-4952-B8BA-AE07EDF3A51B}"/>
      </w:docPartPr>
      <w:docPartBody>
        <w:p w:rsidR="006665DD" w:rsidRDefault="00CA60EE" w:rsidP="00CA60EE">
          <w:pPr>
            <w:pStyle w:val="8ADC391A38584CEC995D1EF99992747A"/>
          </w:pPr>
          <w:r>
            <w:rPr>
              <w:color w:val="7F7F7F" w:themeColor="text1" w:themeTint="80"/>
              <w:sz w:val="32"/>
              <w:szCs w:val="32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A60EE"/>
    <w:rsid w:val="005B0626"/>
    <w:rsid w:val="006665DD"/>
    <w:rsid w:val="00CA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C5162296504820AD9A498F89EE5EC4">
    <w:name w:val="D4C5162296504820AD9A498F89EE5EC4"/>
    <w:rsid w:val="00CA60EE"/>
  </w:style>
  <w:style w:type="paragraph" w:customStyle="1" w:styleId="A365DBD3B5EE437897E0C9BF6290A3AC">
    <w:name w:val="A365DBD3B5EE437897E0C9BF6290A3AC"/>
    <w:rsid w:val="00CA60EE"/>
  </w:style>
  <w:style w:type="paragraph" w:customStyle="1" w:styleId="4D3ACE896F424787BBA03739B08319D0">
    <w:name w:val="4D3ACE896F424787BBA03739B08319D0"/>
    <w:rsid w:val="00CA60EE"/>
  </w:style>
  <w:style w:type="paragraph" w:customStyle="1" w:styleId="D2CE64AA8A6542F5A73E3AE1BDCDBFC3">
    <w:name w:val="D2CE64AA8A6542F5A73E3AE1BDCDBFC3"/>
    <w:rsid w:val="00CA60EE"/>
  </w:style>
  <w:style w:type="paragraph" w:customStyle="1" w:styleId="F0CBA48D614B4CBAAA6AC17B7664672C">
    <w:name w:val="F0CBA48D614B4CBAAA6AC17B7664672C"/>
    <w:rsid w:val="00CA60EE"/>
  </w:style>
  <w:style w:type="paragraph" w:customStyle="1" w:styleId="8ADC391A38584CEC995D1EF99992747A">
    <w:name w:val="8ADC391A38584CEC995D1EF99992747A"/>
    <w:rsid w:val="00CA60EE"/>
  </w:style>
  <w:style w:type="paragraph" w:customStyle="1" w:styleId="A173BB8D79B44E0B9DB400E55D8DA30F">
    <w:name w:val="A173BB8D79B44E0B9DB400E55D8DA30F"/>
    <w:rsid w:val="00CA60EE"/>
  </w:style>
  <w:style w:type="paragraph" w:customStyle="1" w:styleId="ABC2B9C943C7400F9B0464EADAB80BFA">
    <w:name w:val="ABC2B9C943C7400F9B0464EADAB80BFA"/>
    <w:rsid w:val="00CA60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Поняття та форми систематизації нормативно-правових актів</dc:title>
  <dc:subject>м.Бобринець</dc:subject>
  <dc:creator>2014 рік</dc:creator>
  <cp:keywords/>
  <dc:description/>
  <cp:lastModifiedBy>User</cp:lastModifiedBy>
  <cp:revision>40</cp:revision>
  <cp:lastPrinted>2014-06-05T13:50:00Z</cp:lastPrinted>
  <dcterms:created xsi:type="dcterms:W3CDTF">2014-06-05T06:50:00Z</dcterms:created>
  <dcterms:modified xsi:type="dcterms:W3CDTF">2014-06-10T12:37:00Z</dcterms:modified>
</cp:coreProperties>
</file>